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Gay Men Can Manage Wealth, Guilt and Well‑being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money changes everything , and not always for the better. Gay men across the UK, US and beyond are recognising that wealth brings security, options and social power, but also guilt, anxiety and new emotional work; here’s a practical, lived guide to navigating the rewards and the pitfalls.</w:t>
      </w:r>
      <w:r/>
    </w:p>
    <w:p>
      <w:r/>
      <w:r>
        <w:t>Essential Takeaways</w:t>
      </w:r>
      <w:r/>
      <w:r/>
    </w:p>
    <w:p>
      <w:pPr>
        <w:pStyle w:val="ListBullet"/>
        <w:spacing w:line="240" w:lineRule="auto"/>
        <w:ind w:left="720"/>
      </w:pPr>
      <w:r/>
      <w:r>
        <w:rPr>
          <w:b/>
        </w:rPr>
        <w:t>Security benefits:</w:t>
      </w:r>
      <w:r>
        <w:t xml:space="preserve"> Wealth buys stability, comfort and access to services that support long-term wellbeing.</w:t>
      </w:r>
      <w:r/>
    </w:p>
    <w:p>
      <w:pPr>
        <w:pStyle w:val="ListBullet"/>
        <w:spacing w:line="240" w:lineRule="auto"/>
        <w:ind w:left="720"/>
      </w:pPr>
      <w:r/>
      <w:r>
        <w:rPr>
          <w:b/>
        </w:rPr>
        <w:t>Emotional cost:</w:t>
      </w:r>
      <w:r>
        <w:t xml:space="preserve"> Many affluent gay men report anxiety about loss, imposter feelings and guilt toward family or community.</w:t>
      </w:r>
      <w:r/>
    </w:p>
    <w:p>
      <w:pPr>
        <w:pStyle w:val="ListBullet"/>
        <w:spacing w:line="240" w:lineRule="auto"/>
        <w:ind w:left="720"/>
      </w:pPr>
      <w:r/>
      <w:r>
        <w:rPr>
          <w:b/>
        </w:rPr>
        <w:t>Practical defence:</w:t>
      </w:r>
      <w:r>
        <w:t xml:space="preserve"> Building a vetted team (financial planner, accountant, lawyer, therapist) reduces administrative stress and vulnerability.</w:t>
      </w:r>
      <w:r/>
    </w:p>
    <w:p>
      <w:pPr>
        <w:pStyle w:val="ListBullet"/>
        <w:spacing w:line="240" w:lineRule="auto"/>
        <w:ind w:left="720"/>
      </w:pPr>
      <w:r/>
      <w:r>
        <w:rPr>
          <w:b/>
        </w:rPr>
        <w:t>Relationship work:</w:t>
      </w:r>
      <w:r>
        <w:t xml:space="preserve"> Partners, peers and chosen family are vital , boundaries and honest conversations matter.</w:t>
      </w:r>
      <w:r/>
    </w:p>
    <w:p>
      <w:pPr>
        <w:pStyle w:val="ListBullet"/>
        <w:spacing w:line="240" w:lineRule="auto"/>
        <w:ind w:left="720"/>
      </w:pPr>
      <w:r/>
      <w:r>
        <w:rPr>
          <w:b/>
        </w:rPr>
        <w:t>Balance is key:</w:t>
      </w:r>
      <w:r>
        <w:t xml:space="preserve"> Non‑material wealth (time, health, friendships) often predicts happiness as much as money does.</w:t>
      </w:r>
      <w:r/>
      <w:r/>
    </w:p>
    <w:p>
      <w:pPr>
        <w:pStyle w:val="Heading2"/>
      </w:pPr>
      <w:r>
        <w:t>Why wealth feels both liberating and risky</w:t>
      </w:r>
      <w:r/>
    </w:p>
    <w:p>
      <w:r/>
      <w:r>
        <w:t>There’s a particular relief that comes with knowing your bills and healthcare are covered, and that you can afford experiences that make life feel richer , the smell of a well‑made espresso in a sunny kitchen, a ticket to a show, a weekend by the sea. But money also amplifies existing fears: losing it, being judged for it, or being used for it. Research into socioeconomic stress and mental health shows elevated anxiety and complex identity work when status shifts suddenly or visibly. Practically, that means learning to enjoy the perks without letting fear or shame dictate daily life.</w:t>
      </w:r>
      <w:r/>
    </w:p>
    <w:p>
      <w:pPr>
        <w:pStyle w:val="Heading2"/>
      </w:pPr>
      <w:r>
        <w:t>How guilt shows up , and what to do about it</w:t>
      </w:r>
      <w:r/>
    </w:p>
    <w:p>
      <w:r/>
      <w:r>
        <w:t>Guilt is a surprisingly common reaction: feeling “privileged” among peers, worrying you’ve “outshone” family, or sensing cultural disapproval for changing class. Those feelings are real and worth naming. Cognitive reframing helps , view wealth as a tool rather than a moral scorecard , and therapy can unpack where guilt comes from, often in family narratives or early messages about worth. If you choose to help relatives or friends, set clear limits: decide what you can give, how often, and when it’s okay to say no without apology.</w:t>
      </w:r>
      <w:r/>
    </w:p>
    <w:p>
      <w:pPr>
        <w:pStyle w:val="Heading2"/>
      </w:pPr>
      <w:r>
        <w:t>Practical defences: paperwork, pros and physical safety</w:t>
      </w:r>
      <w:r/>
    </w:p>
    <w:p>
      <w:r/>
      <w:r>
        <w:t>Wealth brings paperwork and risk. Taxes, trusts, philanthropic giving and estate planning quickly become full‑time jobs. The sensible response is to assemble a small, trusted team: a fiduciary financial planner, a tax specialist, an estate lawyer and an independent accountant for second opinions. For personal safety, simple measures matter , smart home security, discreet handling of valuables, and digital hygiene to protect identity. Delegating these tasks buys you mental space and reduces the chance of costly mistakes.</w:t>
      </w:r>
      <w:r/>
    </w:p>
    <w:p>
      <w:pPr>
        <w:pStyle w:val="Heading2"/>
      </w:pPr>
      <w:r>
        <w:t>Relationships: trust, testing and chosen family</w:t>
      </w:r>
      <w:r/>
    </w:p>
    <w:p>
      <w:r/>
      <w:r>
        <w:t>One of the loneliest problems wealthy people report is mistrust , who’s with you for you, and who’s there for the perks? Time and gentle testing resolve a lot: share small vulnerabilities, decline to always pick up the tab, and watch for reciprocity. Partners need to be safe havens, so create transparent money conversations with clear roles and expectations. Peer groups who “get it” are useful sounding boards, but keep confidences and pick friends who hold you to your values, not your bank balance.</w:t>
      </w:r>
      <w:r/>
    </w:p>
    <w:p>
      <w:pPr>
        <w:pStyle w:val="Heading2"/>
      </w:pPr>
      <w:r>
        <w:t>Reframing success: material versus non‑material wealth</w:t>
      </w:r>
      <w:r/>
    </w:p>
    <w:p>
      <w:r/>
      <w:r>
        <w:t>Money buys comfort but not meaning. Countless studies link social relationships, physical health and purposeful activity to long‑term happiness , often more than income alone does. If your life feels lopsided, build in time for things money can’t fully buy: unpaid hobbies, community work, nature, and slow mornings. Philanthropy can be deeply satisfying, but choose causes that align with your values rather than as an antidote to guilt. Small, consistent practices , regular walks, weekly calls with friends, scheduled date nights , protect the “non‑monetary” capital that actually sustains you.</w:t>
      </w:r>
      <w:r/>
    </w:p>
    <w:p>
      <w:pPr>
        <w:pStyle w:val="Heading2"/>
      </w:pPr>
      <w:r>
        <w:t>When to bring in professional help , and how to choose wisely</w:t>
      </w:r>
      <w:r/>
    </w:p>
    <w:p>
      <w:r/>
      <w:r>
        <w:t>If anxiety about money affects sleep, relationships or work, a therapist or coach experienced with LGBTQ+ clients can help untangle identity, family history and impostor feelings. Financially, prefer fiduciaries and ask for referrals, credentials and client references. Get a second opinion on major investment or philanthropic moves. And remember: delegating doesn’t mean abdicating responsibility , stay informed and keep the final decisions in your hands.</w:t>
      </w:r>
      <w:r/>
    </w:p>
    <w:p>
      <w:r/>
      <w:r>
        <w:t>It’s a small change that can make every pound or dollar feel more like an ally than an accusation.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[4]</w:t>
        </w:r>
      </w:hyperlink>
      <w:r>
        <w:t xml:space="preserve">, </w:t>
      </w:r>
      <w:hyperlink r:id="rId11">
        <w:r>
          <w:rPr>
            <w:color w:val="0000EE"/>
            <w:u w:val="single"/>
          </w:rPr>
          <w:t>[6]</w:t>
        </w:r>
      </w:hyperlink>
      <w:r>
        <w:t xml:space="preserve">- Paragraph 4: </w:t>
      </w:r>
      <w:hyperlink r:id="rId15">
        <w:r>
          <w:rPr>
            <w:color w:val="0000EE"/>
            <w:u w:val="single"/>
          </w:rPr>
          <w:t>[5]</w:t>
        </w:r>
      </w:hyperlink>
      <w:r>
        <w:t xml:space="preserve">, </w:t>
      </w:r>
      <w:hyperlink r:id="rId13">
        <w:r>
          <w:rPr>
            <w:color w:val="0000EE"/>
            <w:u w:val="single"/>
          </w:rPr>
          <w:t>[7]</w:t>
        </w:r>
      </w:hyperlink>
      <w:r>
        <w:t xml:space="preserve">- Paragraph 5: </w:t>
      </w:r>
      <w:hyperlink r:id="rId12">
        <w:r>
          <w:rPr>
            <w:color w:val="0000EE"/>
            <w:u w:val="single"/>
          </w:rPr>
          <w:t>[3]</w:t>
        </w:r>
      </w:hyperlink>
      <w:r>
        <w:t xml:space="preserve">, </w:t>
      </w:r>
      <w:hyperlink r:id="rId11">
        <w:r>
          <w:rPr>
            <w:color w:val="0000EE"/>
            <w:u w:val="single"/>
          </w:rPr>
          <w:t>[6]</w:t>
        </w:r>
      </w:hyperlink>
      <w:r>
        <w:t xml:space="preserve">- Paragraph 6: </w:t>
      </w:r>
      <w:hyperlink r:id="rId10">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https://gaytherapyla.com/gay-men-and-wealth-how-to-cope-with-rewards-and-challenges/</w:t>
        </w:r>
      </w:hyperlink>
      <w:r>
        <w:t xml:space="preserve"> - Please view link - unable to able to access data</w:t>
      </w:r>
      <w:r/>
    </w:p>
    <w:p>
      <w:pPr>
        <w:pStyle w:val="ListNumber"/>
        <w:spacing w:line="240" w:lineRule="auto"/>
        <w:ind w:left="720"/>
      </w:pPr>
      <w:r/>
      <w:hyperlink r:id="rId10">
        <w:r>
          <w:rPr>
            <w:color w:val="0000EE"/>
            <w:u w:val="single"/>
          </w:rPr>
          <w:t>https://pubmed.ncbi.nlm.nih.gov/18361655/</w:t>
        </w:r>
      </w:hyperlink>
      <w:r>
        <w:t xml:space="preserve"> - This study examines stress and coping mechanisms among gay men, highlighting how perceived stigmatization related to sexual orientation, ethnicity, and age influences mental health outcomes. It reveals that Black older gay men report higher levels of perceived ageism and racism compared to their younger counterparts and White peers, yet they do not experience significantly worse mental health outcomes. The research suggests that coping styles and social support play crucial roles in mitigating the negative effects of stigma.</w:t>
      </w:r>
      <w:r/>
    </w:p>
    <w:p>
      <w:pPr>
        <w:pStyle w:val="ListNumber"/>
        <w:spacing w:line="240" w:lineRule="auto"/>
        <w:ind w:left="720"/>
      </w:pPr>
      <w:r/>
      <w:hyperlink r:id="rId12">
        <w:r>
          <w:rPr>
            <w:color w:val="0000EE"/>
            <w:u w:val="single"/>
          </w:rPr>
          <w:t>https://www.mdpi.com/1660-4601/19/19/12124</w:t>
        </w:r>
      </w:hyperlink>
      <w:r>
        <w:t xml:space="preserve"> - This article explores the impact of chemsex on identity and sexual health among gay and bisexual men. It discusses various coping strategies employed by individuals facing identity threats, including intrapsychic, interpersonal, and intergroup approaches. The study emphasizes the importance of understanding these coping mechanisms to address health disparities and promote well-being within the community.</w:t>
      </w:r>
      <w:r/>
    </w:p>
    <w:p>
      <w:pPr>
        <w:pStyle w:val="ListNumber"/>
        <w:spacing w:line="240" w:lineRule="auto"/>
        <w:ind w:left="720"/>
      </w:pPr>
      <w:r/>
      <w:hyperlink r:id="rId14">
        <w:r>
          <w:rPr>
            <w:color w:val="0000EE"/>
            <w:u w:val="single"/>
          </w:rPr>
          <w:t>https://pubmed.ncbi.nlm.nih.gov/32740828/</w:t>
        </w:r>
      </w:hyperlink>
      <w:r>
        <w:t xml:space="preserve"> - This research investigates the effects of masculinity and avoidant coping on sexual risk-taking behaviors among gay and bisexual men. The study finds that gender role conflict and adherence to masculine norms indirectly influence sexual risk-taking through increased use of avoidant coping strategies. It underscores the need for interventions that address these factors to reduce risky sexual behaviors in this population.</w:t>
      </w:r>
      <w:r/>
    </w:p>
    <w:p>
      <w:pPr>
        <w:pStyle w:val="ListNumber"/>
        <w:spacing w:line="240" w:lineRule="auto"/>
        <w:ind w:left="720"/>
      </w:pPr>
      <w:r/>
      <w:hyperlink r:id="rId15">
        <w:r>
          <w:rPr>
            <w:color w:val="0000EE"/>
            <w:u w:val="single"/>
          </w:rPr>
          <w:t>https://pubmed.ncbi.nlm.nih.gov/16801225/</w:t>
        </w:r>
      </w:hyperlink>
      <w:r>
        <w:t xml:space="preserve"> - This study examines the relationship between race, social support, and coping strategies among HIV-positive gay and bisexual men. It finds that African American participants reported higher use of multiple coping strategies compared to White participants. High levels of perceived social support were associated with greater use of positive coping and seeking support, while lower levels were linked to self-destructive coping. The findings highlight the importance of social support in coping with HIV infection.</w:t>
      </w:r>
      <w:r/>
    </w:p>
    <w:p>
      <w:pPr>
        <w:pStyle w:val="ListNumber"/>
        <w:spacing w:line="240" w:lineRule="auto"/>
        <w:ind w:left="720"/>
      </w:pPr>
      <w:r/>
      <w:hyperlink r:id="rId11">
        <w:r>
          <w:rPr>
            <w:color w:val="0000EE"/>
            <w:u w:val="single"/>
          </w:rPr>
          <w:t>https://pmc.ncbi.nlm.nih.gov/articles/PMC11544687/</w:t>
        </w:r>
      </w:hyperlink>
      <w:r>
        <w:t xml:space="preserve"> - This article discusses the concept of intraminority gay community stress, suggesting that reliance on other men for social and sexual rewards can generate unique stressors in the form of masculine, status-related competition. It posits that maintaining masculinity among sexual minority men requires public demonstration of masculine behaviors, even at the cost of mental and behavioral health, and highlights the need for further research in this area.</w:t>
      </w:r>
      <w:r/>
    </w:p>
    <w:p>
      <w:pPr>
        <w:pStyle w:val="ListNumber"/>
        <w:spacing w:line="240" w:lineRule="auto"/>
        <w:ind w:left="720"/>
      </w:pPr>
      <w:r/>
      <w:hyperlink r:id="rId13">
        <w:r>
          <w:rPr>
            <w:color w:val="0000EE"/>
            <w:u w:val="single"/>
          </w:rPr>
          <w:t>https://pubmed.ncbi.nlm.nih.gov/33724073/</w:t>
        </w:r>
      </w:hyperlink>
      <w:r>
        <w:t xml:space="preserve"> - This longitudinal analysis investigates how socioeconomic status and psychosocial resources mediate racial/ethnic differences in psychological health among gay and bisexual men. The study finds that these factors play a significant role in influencing mental health outcomes, suggesting that addressing socioeconomic disparities and enhancing psychosocial resources are crucial for improving psychological well-being in this population.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therapyla.com/gay-men-and-wealth-how-to-cope-with-rewards-and-challenges/" TargetMode="External"/><Relationship Id="rId10" Type="http://schemas.openxmlformats.org/officeDocument/2006/relationships/hyperlink" Target="https://pubmed.ncbi.nlm.nih.gov/18361655/" TargetMode="External"/><Relationship Id="rId11" Type="http://schemas.openxmlformats.org/officeDocument/2006/relationships/hyperlink" Target="https://pmc.ncbi.nlm.nih.gov/articles/PMC11544687/" TargetMode="External"/><Relationship Id="rId12" Type="http://schemas.openxmlformats.org/officeDocument/2006/relationships/hyperlink" Target="https://www.mdpi.com/1660-4601/19/19/12124" TargetMode="External"/><Relationship Id="rId13" Type="http://schemas.openxmlformats.org/officeDocument/2006/relationships/hyperlink" Target="https://pubmed.ncbi.nlm.nih.gov/33724073/" TargetMode="External"/><Relationship Id="rId14" Type="http://schemas.openxmlformats.org/officeDocument/2006/relationships/hyperlink" Target="https://pubmed.ncbi.nlm.nih.gov/32740828/" TargetMode="External"/><Relationship Id="rId15" Type="http://schemas.openxmlformats.org/officeDocument/2006/relationships/hyperlink" Target="https://pubmed.ncbi.nlm.nih.gov/168012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