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Timeline of Lesbian, Gay, Bisexual Rights in America: Key Moments and What They Mean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history buffs alike are revisiting the long, uneven arc of lesbian, gay and bisexual rights in the United States; this timeline traces landmark wins and painful setbacks from the 18th century to today, showing how laws, culture and activism shaped politics, healthcare, military service and marriage.</w:t>
      </w:r>
      <w:r/>
    </w:p>
    <w:p>
      <w:r/>
      <w:r>
        <w:t>Essential Takeaways</w:t>
      </w:r>
      <w:r/>
      <w:r/>
    </w:p>
    <w:p>
      <w:pPr>
        <w:pStyle w:val="ListBullet"/>
        <w:spacing w:line="240" w:lineRule="auto"/>
        <w:ind w:left="720"/>
      </w:pPr>
      <w:r/>
      <w:r>
        <w:rPr>
          <w:b/>
        </w:rPr>
        <w:t>Early criminalisation:</w:t>
      </w:r>
      <w:r>
        <w:t xml:space="preserve"> Colonial and early state laws treated sodomy as a capital or serious offence, creating centuries of legal danger and stigma.</w:t>
      </w:r>
      <w:r/>
    </w:p>
    <w:p>
      <w:pPr>
        <w:pStyle w:val="ListBullet"/>
        <w:spacing w:line="240" w:lineRule="auto"/>
        <w:ind w:left="720"/>
      </w:pPr>
      <w:r/>
      <w:r>
        <w:rPr>
          <w:b/>
        </w:rPr>
        <w:t>Organising begins:</w:t>
      </w:r>
      <w:r>
        <w:t xml:space="preserve"> The Society for Human Rights (1924) and later groups like the Mattachine Society and Daughters of Bilitis began public organising despite police raids and arrests.</w:t>
      </w:r>
      <w:r/>
    </w:p>
    <w:p>
      <w:pPr>
        <w:pStyle w:val="ListBullet"/>
        <w:spacing w:line="240" w:lineRule="auto"/>
        <w:ind w:left="720"/>
      </w:pPr>
      <w:r/>
      <w:r>
        <w:rPr>
          <w:b/>
        </w:rPr>
        <w:t>Institutional battles:</w:t>
      </w:r>
      <w:r>
        <w:t xml:space="preserve"> From the Lavender Scare in the 1950s to DSM declassification in 1973, institutions both persecuted and later legitimised queer people.</w:t>
      </w:r>
      <w:r/>
    </w:p>
    <w:p>
      <w:pPr>
        <w:pStyle w:val="ListBullet"/>
        <w:spacing w:line="240" w:lineRule="auto"/>
        <w:ind w:left="720"/>
      </w:pPr>
      <w:r/>
      <w:r>
        <w:rPr>
          <w:b/>
        </w:rPr>
        <w:t>Legal turning points:</w:t>
      </w:r>
      <w:r>
        <w:t xml:space="preserve"> Key rulings , Lawrence v. Texas (2003), Obergefell v. Hodges (2015) and Bostock v. Clayton County (2020) , reshaped privacy, marriage and workplace protections.</w:t>
      </w:r>
      <w:r/>
    </w:p>
    <w:p>
      <w:pPr>
        <w:pStyle w:val="ListBullet"/>
        <w:spacing w:line="240" w:lineRule="auto"/>
        <w:ind w:left="720"/>
      </w:pPr>
      <w:r/>
      <w:r>
        <w:rPr>
          <w:b/>
        </w:rPr>
        <w:t>Ongoing risks:</w:t>
      </w:r>
      <w:r>
        <w:t xml:space="preserve"> Recent Supreme Court decisions and state law fights show gains can be eroded; activism and vigilance remain necessary.</w:t>
      </w:r>
      <w:r/>
      <w:r/>
    </w:p>
    <w:p>
      <w:pPr>
        <w:pStyle w:val="Heading2"/>
      </w:pPr>
      <w:r>
        <w:t>From hanging to fines: how early laws criminalised queer life</w:t>
      </w:r>
      <w:r/>
    </w:p>
    <w:p>
      <w:r/>
      <w:r>
        <w:t>The colonies and early states treated same-sex acts as serious crimes, often punishable by death or lengthy servitude, leaving an early legacy of fear and secrecy that shaped family life and community behaviour. Pennsylvania’s 1786 reform replacing execution with forfeiture and servitude showed an early legal shift, but sodomy statutes persisted in many states for centuries. Historians point out that these laws were inherited from English common law and varied wildly by state, which meant queer people navigated a patchwork of risks depending on where they lived. For modern readers, this matters because those early statutes informed policing, medical pathologising and social stigma that lingered long after the laws were nominally changed. If you’re researching family history or legal records, expect euphemisms and caution in archival documents.</w:t>
      </w:r>
      <w:r/>
    </w:p>
    <w:p>
      <w:pPr>
        <w:pStyle w:val="Heading2"/>
      </w:pPr>
      <w:r>
        <w:t>Small groups, big courage: the rise of organised activism</w:t>
      </w:r>
      <w:r/>
    </w:p>
    <w:p>
      <w:r/>
      <w:r>
        <w:t>Visible organising began in the 1920s with Henry Gerber’s Society for Human Rights in Chicago and picked up after World War II with groups like the Mattachine Society and the Daughters of Bilitis. These organisations mixed social support with political aims, publishing newsletters and creating safer spaces when bars and clubs were routinely policed. According to historians, the Mattachine Review and similar publications helped queer people recognise themselves as part of a broader community, even as government reports and purges , the Lavender Scare of the 1950s , pressured many into silence. If you’re looking for a practical takeaway, notice how small, local groups often provided the groundwork for national change; local activism still matters.</w:t>
      </w:r>
      <w:r/>
    </w:p>
    <w:p>
      <w:pPr>
        <w:pStyle w:val="Heading2"/>
      </w:pPr>
      <w:r>
        <w:t>Medical and governmental institutions: from pathologising to partial recognition</w:t>
      </w:r>
      <w:r/>
    </w:p>
    <w:p>
      <w:r/>
      <w:r>
        <w:t>The American Psychiatric Association labelled homosexuality a disorder in early DSM editions, and federal policies like Eisenhower’s executive order in 1953 banned homosexuals from government work, fuelling mass dismissals. Over time pressure from activists and changing social science led the APA to remove homosexuality from the DSM in 1973, a seismic shift that undercut medical justification for discrimination. This institutional volte-face shows how shifts in professional consensus can translate into rights and dignity. For people managing workplace or healthcare concerns today, understanding that these are relatively recent changes helps explain ongoing gaps in care and legal protection.</w:t>
      </w:r>
      <w:r/>
    </w:p>
    <w:p>
      <w:pPr>
        <w:pStyle w:val="Heading2"/>
      </w:pPr>
      <w:r>
        <w:t>Stonewall, visibility, and the widening movement</w:t>
      </w:r>
      <w:r/>
    </w:p>
    <w:p>
      <w:r/>
      <w:r>
        <w:t>The Stonewall uprising in 1969 is commonly named the moment modern LGBTQ activism exploded into public protest; patrons of the Stonewall Inn fought police raids and in doing so sparked annual Pride marches and a national movement. From that spark, bisexual organising and lesbian mobilisation became more visible, and openly LGBTQ candidates began winning elected office by the 1970s. The human detail matters here: activists like Bayard Rustin and Harvey Milk show how queer leadership intersected with other civil rights campaigns and how visibility could bring both progress and personal danger. If you’re comparing eras, note how by the 1970s queer people were moving from private organising to public policy efforts.</w:t>
      </w:r>
      <w:r/>
    </w:p>
    <w:p>
      <w:pPr>
        <w:pStyle w:val="Heading2"/>
      </w:pPr>
      <w:r>
        <w:t>Legal wins and the bittersweet nature of progress</w:t>
      </w:r>
      <w:r/>
    </w:p>
    <w:p>
      <w:r/>
      <w:r>
        <w:t>The legal trajectory includes landmark victories: Lawrence v. Texas (2003) overturned sodomy laws; Massachusetts led with same-sex marriage in 2004 and the Supreme Court finally legalised marriage nationwide in Obergefell v. Hodges (2015); Bostock v. Clayton County (2020) extended workplace protections. Yet victories were often followed by backlash , from Proposition 8 in California to Supreme Court cases that have limited anti-discrimination laws in some contexts. Recent rulings indicate that precedent can be fragile and that legal gains don’t automatically erase social prejudice. The practical lesson for readers is twofold: support civic education and local nondiscrimination measures, and keep records of legal status when it matters for family, healthcare and employment.</w:t>
      </w:r>
      <w:r/>
    </w:p>
    <w:p>
      <w:pPr>
        <w:pStyle w:val="Heading2"/>
      </w:pPr>
      <w:r>
        <w:t>Where things stand now and what to watch next</w:t>
      </w:r>
      <w:r/>
    </w:p>
    <w:p>
      <w:r/>
      <w:r>
        <w:t>Today’s landscape is a mixture of hard-won protections and renewed threats: federal rulings, state bans, and shifts in health and religious exemptions mean rights can vary dramatically across the country. Advocacy groups, legal organisations and local campaigns continue to press for clearer protections for bisexual and gay people, and for the communities whose histories have been underreported. If you’re an ally or someone assessing your own rights, keep an eye on state legislatures and the Supreme Court docket, and consider practical steps like updating your legal documents and checking whether local healthcare providers and employers adhere to nondiscrimination policies.</w:t>
      </w:r>
      <w:r/>
    </w:p>
    <w:p>
      <w:r/>
      <w:r>
        <w:t>It's a small change that can make every day safer and more certain for someone you love.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[5]</w:t>
        </w:r>
      </w:hyperlink>
      <w:r>
        <w:t xml:space="preserve">, </w:t>
      </w:r>
      <w:hyperlink r:id="rId13">
        <w:r>
          <w:rPr>
            <w:color w:val="0000EE"/>
            <w:u w:val="single"/>
          </w:rPr>
          <w:t>[4]</w:t>
        </w:r>
      </w:hyperlink>
      <w:r>
        <w:t xml:space="preserve">- Paragraph 3: </w:t>
      </w:r>
      <w:hyperlink r:id="rId14">
        <w:r>
          <w:rPr>
            <w:color w:val="0000EE"/>
            <w:u w:val="single"/>
          </w:rPr>
          <w:t>[6]</w:t>
        </w:r>
      </w:hyperlink>
      <w:r>
        <w:t xml:space="preserve">, </w:t>
      </w:r>
      <w:hyperlink r:id="rId10">
        <w:r>
          <w:rPr>
            <w:color w:val="0000EE"/>
            <w:u w:val="single"/>
          </w:rPr>
          <w:t>[2]</w:t>
        </w:r>
      </w:hyperlink>
      <w:r>
        <w:t xml:space="preserve">- Paragraph 4: </w:t>
      </w:r>
      <w:hyperlink r:id="rId11">
        <w:r>
          <w:rPr>
            <w:color w:val="0000EE"/>
            <w:u w:val="single"/>
          </w:rPr>
          <w:t>[3]</w:t>
        </w:r>
      </w:hyperlink>
      <w:r>
        <w:t xml:space="preserve">, </w:t>
      </w:r>
      <w:hyperlink r:id="rId15">
        <w:r>
          <w:rPr>
            <w:color w:val="0000EE"/>
            <w:u w:val="single"/>
          </w:rPr>
          <w:t>[7]</w:t>
        </w:r>
      </w:hyperlink>
      <w:r>
        <w:t xml:space="preserve">- Paragraph 5: </w:t>
      </w:r>
      <w:hyperlink r:id="rId10">
        <w:r>
          <w:rPr>
            <w:color w:val="0000EE"/>
            <w:u w:val="single"/>
          </w:rPr>
          <w:t>[2]</w:t>
        </w:r>
      </w:hyperlink>
      <w:r>
        <w:t xml:space="preserve">, </w:t>
      </w:r>
      <w:hyperlink r:id="rId14">
        <w:r>
          <w:rPr>
            <w:color w:val="0000EE"/>
            <w:u w:val="single"/>
          </w:rPr>
          <w:t>[6]</w:t>
        </w:r>
      </w:hyperlink>
      <w:r>
        <w:t xml:space="preserve">- Paragraph 6: </w:t>
      </w:r>
      <w:hyperlink r:id="rId10">
        <w:r>
          <w:rPr>
            <w:color w:val="0000EE"/>
            <w:u w:val="single"/>
          </w:rPr>
          <w:t>[2]</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https://pridesource.com/article/lesbian-gay-bisexual-rights-in-america</w:t>
        </w:r>
      </w:hyperlink>
      <w:r>
        <w:t xml:space="preserve"> - Please view link - unable to able to access data</w:t>
      </w:r>
      <w:r/>
    </w:p>
    <w:p>
      <w:pPr>
        <w:pStyle w:val="ListNumber"/>
        <w:spacing w:line="240" w:lineRule="auto"/>
        <w:ind w:left="720"/>
      </w:pPr>
      <w:r/>
      <w:hyperlink r:id="rId10">
        <w:r>
          <w:rPr>
            <w:color w:val="0000EE"/>
            <w:u w:val="single"/>
          </w:rPr>
          <w:t>https://en.wikipedia.org/wiki/LGBTQ_rights_in_the_United_States</w:t>
        </w:r>
      </w:hyperlink>
      <w:r>
        <w:t xml:space="preserve"> - This Wikipedia article provides a comprehensive overview of LGBTQ rights in the United States, detailing the legal status, recognition, adoption rights, military service, and discrimination protections for LGBTQ individuals. It highlights significant milestones such as the decriminalization of homosexuality, the legalization of same-sex marriage, and the prohibition of employment discrimination based on sexual orientation and gender identity. The article also discusses the varying state policies and the ongoing challenges faced by the LGBTQ community in the U.S.</w:t>
      </w:r>
      <w:r/>
    </w:p>
    <w:p>
      <w:pPr>
        <w:pStyle w:val="ListNumber"/>
        <w:spacing w:line="240" w:lineRule="auto"/>
        <w:ind w:left="720"/>
      </w:pPr>
      <w:r/>
      <w:hyperlink r:id="rId11">
        <w:r>
          <w:rPr>
            <w:color w:val="0000EE"/>
            <w:u w:val="single"/>
          </w:rPr>
          <w:t>https://www.history.com/topics/lgbtq</w:t>
        </w:r>
      </w:hyperlink>
      <w:r>
        <w:t xml:space="preserve"> - This History.com article explores key moments in LGBTQ+ history, including the Stonewall Riots, the assassination of Harvey Milk, the AIDS crisis, and marriage equality. It provides insights into the early gay rights movement, the significance of the pink triangle, and the impact of the Mattachine Society. The article also covers the evolution of gay rights in the 1960s, the Stonewall Inn uprising, Christopher Street Liberation Day, and subsequent LGBTQ+ political victories.</w:t>
      </w:r>
      <w:r/>
    </w:p>
    <w:p>
      <w:pPr>
        <w:pStyle w:val="ListNumber"/>
        <w:spacing w:line="240" w:lineRule="auto"/>
        <w:ind w:left="720"/>
      </w:pPr>
      <w:r/>
      <w:hyperlink r:id="rId13">
        <w:r>
          <w:rPr>
            <w:color w:val="0000EE"/>
            <w:u w:val="single"/>
          </w:rPr>
          <w:t>https://www.easternbank.com/brief-history-lgbtq-rights-united-states</w:t>
        </w:r>
      </w:hyperlink>
      <w:r>
        <w:t xml:space="preserve"> - This article offers a brief history of LGBTQ rights in the United States, focusing on the mid-20th century. It discusses the 1950s and 1960s, a period fraught with anti-LGBTQ sentiments, and the emergence of safe spaces for the community. The piece highlights the 1969 Stonewall Riots as a pivotal moment in the modern LGBTQ rights movement and touches upon the influence of activists like Harvey Milk and the challenges faced during the AIDS crisis.</w:t>
      </w:r>
      <w:r/>
    </w:p>
    <w:p>
      <w:pPr>
        <w:pStyle w:val="ListNumber"/>
        <w:spacing w:line="240" w:lineRule="auto"/>
        <w:ind w:left="720"/>
      </w:pPr>
      <w:r/>
      <w:hyperlink r:id="rId12">
        <w:r>
          <w:rPr>
            <w:color w:val="0000EE"/>
            <w:u w:val="single"/>
          </w:rPr>
          <w:t>https://www.axios.com/local/chicago/2024/12/09/100-years-lgbtq-rights-henry-gerber-chicago-history</w:t>
        </w:r>
      </w:hyperlink>
      <w:r>
        <w:t xml:space="preserve"> - This Axios article commemorates the 100th anniversary of the founding of the Society for Human Rights (SHR) by Henry Gerber in Chicago in 1924. It highlights Gerber's inspiration from the German homosexual emancipation movement and his efforts in establishing the first U.S. gay rights organization. The article also mentions the designation of Gerber's home as a national historic landmark and the preservation of his contributions by institutions like the Chicago History Museum and the Gerber/Hart Library and Archives.</w:t>
      </w:r>
      <w:r/>
    </w:p>
    <w:p>
      <w:pPr>
        <w:pStyle w:val="ListNumber"/>
        <w:spacing w:line="240" w:lineRule="auto"/>
        <w:ind w:left="720"/>
      </w:pPr>
      <w:r/>
      <w:hyperlink r:id="rId14">
        <w:r>
          <w:rPr>
            <w:color w:val="0000EE"/>
            <w:u w:val="single"/>
          </w:rPr>
          <w:t>https://www.history.com/articles/history-of-gay-rights</w:t>
        </w:r>
      </w:hyperlink>
      <w:r>
        <w:t xml:space="preserve"> - This article provides an in-depth look at the history of gay rights in the United States, covering the early gay rights movement, the significance of the pink triangle, the homophile years, and the Mattachine Society. It also delves into gay rights in the 1960s, the Stonewall Inn uprising, Christopher Street Liberation Day, LGBTQ+ political victories, the outbreak of AIDS, the 'Don't Ask, Don't Tell' policy, gay marriage, the Matthew Shepard Act, transgender rights, and the legalization of gay marriage.</w:t>
      </w:r>
      <w:r/>
    </w:p>
    <w:p>
      <w:pPr>
        <w:pStyle w:val="ListNumber"/>
        <w:spacing w:line="240" w:lineRule="auto"/>
        <w:ind w:left="720"/>
      </w:pPr>
      <w:r/>
      <w:hyperlink r:id="rId15">
        <w:r>
          <w:rPr>
            <w:color w:val="0000EE"/>
            <w:u w:val="single"/>
          </w:rPr>
          <w:t>https://en.wikipedia.org/wiki/LGBTQ_history_in_the_United_States</w:t>
        </w:r>
      </w:hyperlink>
      <w:r>
        <w:t xml:space="preserve"> - This Wikipedia article traces the history of LGBTQ individuals and social movements in the United States. It discusses the challenges faced by LGBTQ individuals due to persecution and social ostracization, the influence of Protestant roots leading to a heteronormative culture, and the establishment of sodomy laws. The article also covers the decriminalization of sodomy, the declassification of homosexuality as a mental disorder, and the rise of LGBTQ rights movements in the mid-20th century.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pridesource.com/article/lesbian-gay-bisexual-rights-in-america" TargetMode="External"/><Relationship Id="rId10" Type="http://schemas.openxmlformats.org/officeDocument/2006/relationships/hyperlink" Target="https://en.wikipedia.org/wiki/LGBTQ_rights_in_the_United_States" TargetMode="External"/><Relationship Id="rId11" Type="http://schemas.openxmlformats.org/officeDocument/2006/relationships/hyperlink" Target="https://www.history.com/topics/lgbtq" TargetMode="External"/><Relationship Id="rId12" Type="http://schemas.openxmlformats.org/officeDocument/2006/relationships/hyperlink" Target="https://www.axios.com/local/chicago/2024/12/09/100-years-lgbtq-rights-henry-gerber-chicago-history" TargetMode="External"/><Relationship Id="rId13" Type="http://schemas.openxmlformats.org/officeDocument/2006/relationships/hyperlink" Target="https://www.easternbank.com/brief-history-lgbtq-rights-united-states" TargetMode="External"/><Relationship Id="rId14" Type="http://schemas.openxmlformats.org/officeDocument/2006/relationships/hyperlink" Target="https://www.history.com/articles/history-of-gay-rights" TargetMode="External"/><Relationship Id="rId15" Type="http://schemas.openxmlformats.org/officeDocument/2006/relationships/hyperlink" Target="https://en.wikipedia.org/wiki/LGBTQ_history_in_the_United_Stat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