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for LGBTQ+ Couples to Feel Safe Without a Gun in the Home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partners are rethinking safety at home: when one partner grew up fearing for their life, the idea of a firearm feels like protection, while the other partner may feel it raises the danger. Here’s why this disagreement matters, what research says about LGBTQ+ safety, and practical ways couples can compromise.</w:t>
      </w:r>
      <w:r/>
    </w:p>
    <w:p>
      <w:r/>
      <w:r>
        <w:t>Essential Takeaways</w:t>
      </w:r>
      <w:r/>
      <w:r/>
    </w:p>
    <w:p>
      <w:pPr>
        <w:pStyle w:val="ListBullet"/>
        <w:spacing w:line="240" w:lineRule="auto"/>
        <w:ind w:left="720"/>
      </w:pPr>
      <w:r/>
      <w:r>
        <w:rPr>
          <w:b/>
        </w:rPr>
        <w:t>Different fears, same goal:</w:t>
      </w:r>
      <w:r>
        <w:t xml:space="preserve"> Both partners want to feel protected, but they imagine very different solutions.</w:t>
      </w:r>
      <w:r/>
    </w:p>
    <w:p>
      <w:pPr>
        <w:pStyle w:val="ListBullet"/>
        <w:spacing w:line="240" w:lineRule="auto"/>
        <w:ind w:left="720"/>
      </w:pPr>
      <w:r/>
      <w:r>
        <w:rPr>
          <w:b/>
        </w:rPr>
        <w:t>Context matters:</w:t>
      </w:r>
      <w:r>
        <w:t xml:space="preserve"> LGBTQ+ people report higher worries about hate incidents and harassment, which shapes preparedness choices.</w:t>
      </w:r>
      <w:r/>
    </w:p>
    <w:p>
      <w:pPr>
        <w:pStyle w:val="ListBullet"/>
        <w:spacing w:line="240" w:lineRule="auto"/>
        <w:ind w:left="720"/>
      </w:pPr>
      <w:r/>
      <w:r>
        <w:rPr>
          <w:b/>
        </w:rPr>
        <w:t>Guns change the vibe:</w:t>
      </w:r>
      <w:r>
        <w:t xml:space="preserve"> For some, a firearm brings calm; for others, it creates constant anxiety and risk of accidents.</w:t>
      </w:r>
      <w:r/>
    </w:p>
    <w:p>
      <w:pPr>
        <w:pStyle w:val="ListBullet"/>
        <w:spacing w:line="240" w:lineRule="auto"/>
        <w:ind w:left="720"/>
      </w:pPr>
      <w:r/>
      <w:r>
        <w:rPr>
          <w:b/>
        </w:rPr>
        <w:t>Alternatives exist:</w:t>
      </w:r>
      <w:r>
        <w:t xml:space="preserve"> Security tech, community safety plans, self-defence training, and legal precautions can reduce risk without introducing a firearm.</w:t>
      </w:r>
      <w:r/>
    </w:p>
    <w:p>
      <w:pPr>
        <w:pStyle w:val="ListBullet"/>
        <w:spacing w:line="240" w:lineRule="auto"/>
        <w:ind w:left="720"/>
      </w:pPr>
      <w:r/>
      <w:r>
        <w:rPr>
          <w:b/>
        </w:rPr>
        <w:t>Talk before acting:</w:t>
      </w:r>
      <w:r>
        <w:t xml:space="preserve"> Curiosity, boundaries and joint decision-making are the quickest routes to workable compromise.</w:t>
      </w:r>
      <w:r/>
      <w:r/>
    </w:p>
    <w:p>
      <w:pPr>
        <w:pStyle w:val="Heading2"/>
      </w:pPr>
      <w:r>
        <w:t>Why this argument is really about safety, not guns</w:t>
      </w:r>
      <w:r/>
    </w:p>
    <w:p>
      <w:r/>
      <w:r>
        <w:t>Start with that emotional fact: when someone who grew up with threats says they want a gun, they’re describing survival habits born of real fear. According to reporting and public data, many LGBTQ+ people feel the world around them has become less predictable and sometimes hostile, so a defensive option brings relief. But for partners who associate guns with accidents, impulsive moments or domestic escalation, the same object is a source of dread. That mismatch makes the debate feel existential rather than tactical.</w:t>
      </w:r>
      <w:r/>
    </w:p>
    <w:p>
      <w:r/>
      <w:r>
        <w:t>Understanding that split helps you stop arguing over facts and start exploring feelings. Ask each other what “feeling safe” actually looks like in day-to-day life, and what specific scenarios each person fears most.</w:t>
      </w:r>
      <w:r/>
    </w:p>
    <w:p>
      <w:pPr>
        <w:pStyle w:val="Heading2"/>
      </w:pPr>
      <w:r>
        <w:t>What the research and watchdogs say about LGBTQ+ risk</w:t>
      </w:r>
      <w:r/>
    </w:p>
    <w:p>
      <w:r/>
      <w:r>
        <w:t>There’s evidence that queer and trans communities face elevated exposure to harassment and hate incidents, and organisations track spikes in anti-LGBTQ+ incidents after political or cultural flare-ups. At the same time, studies show that introducing a firearm into a household changes the risk profile for accidents, suicide and domestic incidents. So both partners’ concerns rest on real phenomena: targeted hostility on one side, and the general risks of household firearms on the other.</w:t>
      </w:r>
      <w:r/>
    </w:p>
    <w:p>
      <w:r/>
      <w:r>
        <w:t>Use those facts to inform a realistic risk assessment: how likely is a violent intruder in your neighbourhood, versus the everyday risks of an unsecured weapon? Local crime data, community reporting and reputable briefs on firearm ownership among LGBTQ+ adults can help you build a sensible view together.</w:t>
      </w:r>
      <w:r/>
    </w:p>
    <w:p>
      <w:pPr>
        <w:pStyle w:val="Heading2"/>
      </w:pPr>
      <w:r>
        <w:t>Practical alternatives that don’t involve a gun</w:t>
      </w:r>
      <w:r/>
    </w:p>
    <w:p>
      <w:r/>
      <w:r>
        <w:t>If a gun feels like a deal-breaker, there are concrete measures that reduce danger while keeping the home gun-free. Think layered security: a visible doorbell camera, motion-sensor lights, a deadbolt upgrade, and an emergency plan for leaving quickly. Self-defence classes teach situational awareness and confidence without involving weapons. Legal precautions , registering safety contacts, protecting digital privacy, and carrying panic-alert apps , also lower risk.</w:t>
      </w:r>
      <w:r/>
    </w:p>
    <w:p>
      <w:r/>
      <w:r>
        <w:t>Try a trial of non-lethal options first. If they meaningfully reduce your partner’s anxiety, you’ll have bought more time to reassess. If not, at least you’ll know you tried pragmatic steps before moving to more fraught options.</w:t>
      </w:r>
      <w:r/>
    </w:p>
    <w:p>
      <w:pPr>
        <w:pStyle w:val="Heading2"/>
      </w:pPr>
      <w:r>
        <w:t>How to negotiate when your values clash</w:t>
      </w:r>
      <w:r/>
    </w:p>
    <w:p>
      <w:r/>
      <w:r>
        <w:t>This isn’t a debate you’ll settle with facts alone. Couples counselling, or at least a few structured conversations, helps by turning arguments into curiosity. Set rules: no guns in the house without mutual consent, or conditional agreements such as offsite storage with clear safeguards. Discuss scenarios that trigger each of you and draft a short safety pact , who calls whom, where to go, and what steps to take if one partner feels threatened.</w:t>
      </w:r>
      <w:r/>
    </w:p>
    <w:p>
      <w:r/>
      <w:r>
        <w:t>If one person remains adamant, consider a phased compromise: agree on strict storage, background checks, and third-party safekeeping, or explore legal options like safe-storage contracts that make ownership less risky emotionally.</w:t>
      </w:r>
      <w:r/>
    </w:p>
    <w:p>
      <w:pPr>
        <w:pStyle w:val="Heading2"/>
      </w:pPr>
      <w:r>
        <w:t>When to accept incompatibility , and when it’s worth working through</w:t>
      </w:r>
      <w:r/>
    </w:p>
    <w:p>
      <w:r/>
      <w:r>
        <w:t>Sometimes deeply held safety instincts point to deeper worldviews that won’t budge. If one partner can’t imagine ever feeling secure with a firearm, and the other can’t imagine not having one, that’s a legitimate compatibility issue. But it’s worth exhausting alternatives and talking with a neutral therapist first. Many couples find a middle way once they realise both are motivated by care, not control.</w:t>
      </w:r>
      <w:r/>
    </w:p>
    <w:p>
      <w:r/>
      <w:r>
        <w:t>If you can’t bridge the gap, it’s not a moral failing , it’s a sign you may want different living arrangements to honour your individual boundaries.</w:t>
      </w:r>
      <w:r/>
    </w:p>
    <w:p>
      <w:r/>
      <w:r>
        <w:t>It’s a small change that can make every evening feel more peaceful: start by listening, then try practical steps together.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3">
        <w:r>
          <w:rPr>
            <w:color w:val="0000EE"/>
            <w:u w:val="single"/>
          </w:rPr>
          <w:t>[2]</w:t>
        </w:r>
      </w:hyperlink>
      <w:r>
        <w:t xml:space="preserve">, </w:t>
      </w:r>
      <w:hyperlink r:id="rId14">
        <w:r>
          <w:rPr>
            <w:color w:val="0000EE"/>
            <w:u w:val="single"/>
          </w:rPr>
          <w:t>[5]</w:t>
        </w:r>
      </w:hyperlink>
      <w:r>
        <w:t xml:space="preserve">- Paragraph 4: </w:t>
      </w:r>
      <w:hyperlink r:id="rId11">
        <w:r>
          <w:rPr>
            <w:color w:val="0000EE"/>
            <w:u w:val="single"/>
          </w:rPr>
          <w:t>[3]</w:t>
        </w:r>
      </w:hyperlink>
      <w:r>
        <w:t xml:space="preserve">, </w:t>
      </w:r>
      <w:hyperlink r:id="rId12">
        <w:r>
          <w:rPr>
            <w:color w:val="0000EE"/>
            <w:u w:val="single"/>
          </w:rPr>
          <w:t>[6]</w:t>
        </w:r>
      </w:hyperlink>
      <w:r>
        <w:t xml:space="preserve">- Paragraph 5: </w:t>
      </w:r>
      <w:hyperlink r:id="rId10">
        <w:r>
          <w:rPr>
            <w:color w:val="0000EE"/>
            <w:u w:val="single"/>
          </w:rPr>
          <w:t>[4]</w:t>
        </w:r>
      </w:hyperlink>
      <w:r>
        <w:t xml:space="preserve">, </w:t>
      </w:r>
      <w:hyperlink r:id="rId13">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https://www.queerty.com/my-boyfriend-insists-we-need-a-to-protect-ourselves-i-couldnt-disagree-more-are-we-doomed-20260703/</w:t>
        </w:r>
      </w:hyperlink>
      <w:r>
        <w:t xml:space="preserve"> - Please view link - unable to able to access data</w:t>
      </w:r>
      <w:r/>
    </w:p>
    <w:p>
      <w:pPr>
        <w:pStyle w:val="ListNumber"/>
        <w:spacing w:line="240" w:lineRule="auto"/>
        <w:ind w:left="720"/>
      </w:pPr>
      <w:r/>
      <w:hyperlink r:id="rId13">
        <w:r>
          <w:rPr>
            <w:color w:val="0000EE"/>
            <w:u w:val="single"/>
          </w:rPr>
          <w:t>https://www.politifact.com/article/2025/sep/09/trans-people-mass-shootings-gun-violence/</w:t>
        </w:r>
      </w:hyperlink>
      <w:r>
        <w:t xml:space="preserve"> - An article from PolitiFact examines claims that transgender individuals are more prone to commit gun violence. It presents data showing that the majority of mass shootings are perpetrated by men who are not transgender, challenging the assertion that transgender people are statistically more likely to commit such acts. The piece highlights the importance of accurate information in discussions about gun violence and the transgender community.</w:t>
      </w:r>
      <w:r/>
    </w:p>
    <w:p>
      <w:pPr>
        <w:pStyle w:val="ListNumber"/>
        <w:spacing w:line="240" w:lineRule="auto"/>
        <w:ind w:left="720"/>
      </w:pPr>
      <w:r/>
      <w:hyperlink r:id="rId11">
        <w:r>
          <w:rPr>
            <w:color w:val="0000EE"/>
            <w:u w:val="single"/>
          </w:rPr>
          <w:t>https://healthpolicy.ucla.edu/our-work/publications/firearm-ownership-lgbt-adults-california-policy-brief-2024</w:t>
        </w:r>
      </w:hyperlink>
      <w:r>
        <w:t xml:space="preserve"> - A policy brief from the UCLA Center for Health Policy Research explores firearm ownership among LGBT adults in California. It reveals that 14% of LGBT adults own firearms, with 1 in 100 having an unlocked, loaded firearm in their homes. The brief also highlights increased risks of firearm-related injury and mortality among LGBT individuals, including higher rates of serious suicidal ideation and intimate partner violence compared to non-LGBT adults.</w:t>
      </w:r>
      <w:r/>
    </w:p>
    <w:p>
      <w:pPr>
        <w:pStyle w:val="ListNumber"/>
        <w:spacing w:line="240" w:lineRule="auto"/>
        <w:ind w:left="720"/>
      </w:pPr>
      <w:r/>
      <w:hyperlink r:id="rId10">
        <w:r>
          <w:rPr>
            <w:color w:val="0000EE"/>
            <w:u w:val="single"/>
          </w:rPr>
          <w:t>https://www.axios.com/2025/06/02/anti-lgbtq-incidents-glaad-data-transgender</w:t>
        </w:r>
      </w:hyperlink>
      <w:r>
        <w:t xml:space="preserve"> - An Axios report discusses data from GLAAD indicating that transgender and gender-nonconforming individuals were the primary targets in over half of the more than 930 anti-LGBTQ+ incidents reported between May 2024 and April 2025 across 49 U.S. states and Washington, D.C. The incidents included protests, rallies, threats, physical assaults, vandalism, and other acts, reflecting a troubling spike in hostility towards the transgender community.</w:t>
      </w:r>
      <w:r/>
    </w:p>
    <w:p>
      <w:pPr>
        <w:pStyle w:val="ListNumber"/>
        <w:spacing w:line="240" w:lineRule="auto"/>
        <w:ind w:left="720"/>
      </w:pPr>
      <w:r/>
      <w:hyperlink r:id="rId14">
        <w:r>
          <w:rPr>
            <w:color w:val="0000EE"/>
            <w:u w:val="single"/>
          </w:rPr>
          <w:t>https://www.factcheck.org/2025/09/few-mass-shooters-have-been-transgender/</w:t>
        </w:r>
      </w:hyperlink>
      <w:r>
        <w:t xml:space="preserve"> - A FactCheck.org article addresses claims about transgender individuals being responsible for mass shootings. It presents data showing that since January 2013, there have been five mass shootings by transgender or nonbinary people, accounting for less than 0.1% of such incidents. The piece emphasizes the need for accurate information in discussions about gun violence and the transgender community.</w:t>
      </w:r>
      <w:r/>
    </w:p>
    <w:p>
      <w:pPr>
        <w:pStyle w:val="ListNumber"/>
        <w:spacing w:line="240" w:lineRule="auto"/>
        <w:ind w:left="720"/>
      </w:pPr>
      <w:r/>
      <w:hyperlink r:id="rId12">
        <w:r>
          <w:rPr>
            <w:color w:val="0000EE"/>
            <w:u w:val="single"/>
          </w:rPr>
          <w:t>https://giffords.org/press-release/2020/06/pulse-shooting-report/</w:t>
        </w:r>
      </w:hyperlink>
      <w:r>
        <w:t xml:space="preserve"> - A press release from Giffords, the Human Rights Campaign, Everytown for Gun Safety, and Equality Florida highlights the impact of gun violence on the LGBTQ community. It notes that over 10,000 hate crimes in the U.S. involve a firearm each year, equating to more than 28 each day. The report underscores the need for enhanced firearm violence prevention efforts to protect LGBTQ individuals.</w:t>
      </w:r>
      <w:r/>
    </w:p>
    <w:p>
      <w:pPr>
        <w:pStyle w:val="ListNumber"/>
        <w:spacing w:line="240" w:lineRule="auto"/>
        <w:ind w:left="720"/>
      </w:pPr>
      <w:r/>
      <w:hyperlink r:id="rId9">
        <w:r>
          <w:rPr>
            <w:color w:val="0000EE"/>
            <w:u w:val="single"/>
          </w:rPr>
          <w:t>https://www.queerty.com/my-boyfriend-insists-we-need-a-to-protect-ourselves-i-couldnt-disagree-more-are-we-doomed-20260703/</w:t>
        </w:r>
      </w:hyperlink>
      <w:r>
        <w:t xml:space="preserve"> - An article from Queerty presents a personal account of a gay couple debating firearm ownership for self-protection. One partner, who grew up in Mississippi and faced bullying for being gay, insists on having a gun in the house, while the other partner, who dislikes guns, feels it would make them less safe. The piece explores the complexities of safety, fear, and differing perspectives within LGBTQ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my-boyfriend-insists-we-need-a-to-protect-ourselves-i-couldnt-disagree-more-are-we-doomed-20260703/" TargetMode="External"/><Relationship Id="rId10" Type="http://schemas.openxmlformats.org/officeDocument/2006/relationships/hyperlink" Target="https://www.axios.com/2025/06/02/anti-lgbtq-incidents-glaad-data-transgender" TargetMode="External"/><Relationship Id="rId11" Type="http://schemas.openxmlformats.org/officeDocument/2006/relationships/hyperlink" Target="https://healthpolicy.ucla.edu/our-work/publications/firearm-ownership-lgbt-adults-california-policy-brief-2024" TargetMode="External"/><Relationship Id="rId12" Type="http://schemas.openxmlformats.org/officeDocument/2006/relationships/hyperlink" Target="https://giffords.org/press-release/2020/06/pulse-shooting-report/" TargetMode="External"/><Relationship Id="rId13" Type="http://schemas.openxmlformats.org/officeDocument/2006/relationships/hyperlink" Target="https://www.politifact.com/article/2025/sep/09/trans-people-mass-shootings-gun-violence/" TargetMode="External"/><Relationship Id="rId14" Type="http://schemas.openxmlformats.org/officeDocument/2006/relationships/hyperlink" Target="https://www.factcheck.org/2025/09/few-mass-shooters-have-been-transgende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