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Oklahoma Gender-Affirming Care Restrictions and What They Mean for Adults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newsfeeds for clarity as Oklahoma’s new law disrupts gender-affirming care for transgender adults; this piece explains who is affected, why it matters under human-rights standards, and practical steps patients and supporters can take now.</w:t>
      </w:r>
      <w:r/>
    </w:p>
    <w:p>
      <w:r/>
      <w:r>
        <w:t>Essential Takeaways</w:t>
      </w:r>
      <w:r/>
      <w:r/>
    </w:p>
    <w:p>
      <w:pPr>
        <w:pStyle w:val="ListBullet"/>
        <w:spacing w:line="240" w:lineRule="auto"/>
        <w:ind w:left="720"/>
      </w:pPr>
      <w:r/>
      <w:r>
        <w:rPr>
          <w:b/>
        </w:rPr>
        <w:t>Who’s affected:</w:t>
      </w:r>
      <w:r>
        <w:t xml:space="preserve"> Transgender adults in Oklahoma face new legal limits that interrupt access to hormone therapy and related care, creating uncertainty for patients and providers.</w:t>
      </w:r>
      <w:r/>
    </w:p>
    <w:p>
      <w:pPr>
        <w:pStyle w:val="ListBullet"/>
        <w:spacing w:line="240" w:lineRule="auto"/>
        <w:ind w:left="720"/>
      </w:pPr>
      <w:r/>
      <w:r>
        <w:rPr>
          <w:b/>
        </w:rPr>
        <w:t>Legal landscape:</w:t>
      </w:r>
      <w:r>
        <w:t xml:space="preserve"> State action follows earlier youth-focused bans and court rulings, and sits uneasily alongside federal and international human-rights principles.</w:t>
      </w:r>
      <w:r/>
    </w:p>
    <w:p>
      <w:pPr>
        <w:pStyle w:val="ListBullet"/>
        <w:spacing w:line="240" w:lineRule="auto"/>
        <w:ind w:left="720"/>
      </w:pPr>
      <w:r/>
      <w:r>
        <w:rPr>
          <w:b/>
        </w:rPr>
        <w:t>Health impact:</w:t>
      </w:r>
      <w:r>
        <w:t xml:space="preserve"> Research links continued access to gender-affirming care with lower rates of self-harm and better quality of life.</w:t>
      </w:r>
      <w:r/>
    </w:p>
    <w:p>
      <w:pPr>
        <w:pStyle w:val="ListBullet"/>
        <w:spacing w:line="240" w:lineRule="auto"/>
        <w:ind w:left="720"/>
      </w:pPr>
      <w:r/>
      <w:r>
        <w:rPr>
          <w:b/>
        </w:rPr>
        <w:t>Practical advice:</w:t>
      </w:r>
      <w:r>
        <w:t xml:space="preserve"> Patients should document care plans, check provider networks, and consider telehealth or out-of-state options where possible.</w:t>
      </w:r>
      <w:r/>
    </w:p>
    <w:p>
      <w:pPr>
        <w:pStyle w:val="ListBullet"/>
        <w:spacing w:line="240" w:lineRule="auto"/>
        <w:ind w:left="720"/>
      </w:pPr>
      <w:r/>
      <w:r>
        <w:rPr>
          <w:b/>
        </w:rPr>
        <w:t>Atmosphere:</w:t>
      </w:r>
      <w:r>
        <w:t xml:space="preserve"> The change has a chilling, emotional effect , many report fear, disruption and the loss of routine medical support.</w:t>
      </w:r>
      <w:r/>
      <w:r/>
    </w:p>
    <w:p>
      <w:pPr>
        <w:pStyle w:val="Heading2"/>
      </w:pPr>
      <w:r>
        <w:t>What changed and who notices first</w:t>
      </w:r>
      <w:r/>
    </w:p>
    <w:p>
      <w:r/>
      <w:r>
        <w:t>The most immediate reality is practical: appointments are being postponed, prescriptions reviewed and clinics scrambling to interpret the new law. Local health teams and patients say the mood is tense and the daily routines that keep people well , a steady prescription, a known clinician, a familiar support plan , are being interrupted. According to reporting on the ground, many adults are left wondering whether treatments they’ve relied on for years will continue without legal hassle.</w:t>
      </w:r>
      <w:r/>
    </w:p>
    <w:p>
      <w:r/>
      <w:r>
        <w:t>This state-level move didn’t appear in isolation. It follows earlier measures aimed at young people and mirrors a wider pattern of legislative activity in several states. For people who depend on continuity of care, even small administrative roadblocks can feel like a major threat, so clinicians and clinics are trying to balance legal compliance with patient needs.</w:t>
      </w:r>
      <w:r/>
    </w:p>
    <w:p>
      <w:pPr>
        <w:pStyle w:val="Heading2"/>
      </w:pPr>
      <w:r>
        <w:t>How this sits with human-rights principles</w:t>
      </w:r>
      <w:r/>
    </w:p>
    <w:p>
      <w:r/>
      <w:r>
        <w:t>The Universal Declaration of Human Rights sets a clear baseline: dignity, privacy and freedom from discrimination. Observers point out that restricting medical care for a specific group raises thorny questions about equal protection and bodily autonomy. Human-rights advocates argue that denying or obstructing care on the basis of gender identity can amount to discrimination and a denial of basic medical choices.</w:t>
      </w:r>
      <w:r/>
    </w:p>
    <w:p>
      <w:r/>
      <w:r>
        <w:t>That doesn’t mean legal outcomes are uniform. Courts, state legislatures and federal agencies all play different roles, and prior rulings on youth care show the patchwork nature of current law. Still, the human-rights framing helps explain why many activists and clinicians see this as more than a policy debate , it’s about whether people can access health care that is widely recognised as medically necessary.</w:t>
      </w:r>
      <w:r/>
    </w:p>
    <w:p>
      <w:pPr>
        <w:pStyle w:val="Heading2"/>
      </w:pPr>
      <w:r>
        <w:t>What the research says about health outcomes</w:t>
      </w:r>
      <w:r/>
    </w:p>
    <w:p>
      <w:r/>
      <w:r>
        <w:t>Scientific evidence adds weight to the concern. Peer-reviewed studies have found associations between access to gender-affirming care and better mental-health outcomes, including significantly lower rates of self-harm and suicidality among both adults and young people who receive appropriate treatment. Clinicians cite these findings when they describe the real-world consequences: uninterrupted care isn’t cosmetic, it can be lifesaving.</w:t>
      </w:r>
      <w:r/>
    </w:p>
    <w:p>
      <w:r/>
      <w:r>
        <w:t>This research also matters for providers making clinical decisions under legal pressure. Medical associations and ethicists often emphasise that care should be individually tailored and evidence-based, and that sudden policy shifts risk harming the very people the health system should protect.</w:t>
      </w:r>
      <w:r/>
    </w:p>
    <w:p>
      <w:pPr>
        <w:pStyle w:val="Heading2"/>
      </w:pPr>
      <w:r>
        <w:t>Practical steps for patients and clinicians</w:t>
      </w:r>
      <w:r/>
    </w:p>
    <w:p>
      <w:r/>
      <w:r>
        <w:t>If you or someone you care about is affected, there are pragmatic moves to reduce immediate disruption. First, document your treatment plan and prescriptions carefully, so there’s a clear medical record. Second, talk to your provider about options: some clinics are coordinating telehealth appointments, while others are helping patients find out-of-state care where laws differ. Third, check with insurers and patient advocacy groups for emergency assistance and legal referrals.</w:t>
      </w:r>
      <w:r/>
    </w:p>
    <w:p>
      <w:r/>
      <w:r>
        <w:t>Clinicians are advised to stay informed through professional organisations and legal counsel so they can support patients without inadvertently breaking the law. Community groups can also help with logistics, emotional support and navigating insurance or travel for care.</w:t>
      </w:r>
      <w:r/>
    </w:p>
    <w:p>
      <w:pPr>
        <w:pStyle w:val="Heading2"/>
      </w:pPr>
      <w:r>
        <w:t>Why the debate is likely to keep going</w:t>
      </w:r>
      <w:r/>
    </w:p>
    <w:p>
      <w:r/>
      <w:r>
        <w:t>This change in Oklahoma is part of a larger national conversation about the role of state law in personal medical decisions. Legislative swings, executive orders and court rulings feed one another, and that means policy will probably keep shifting. For patients and providers, the practical work is immediate: maintain continuity where possible, advocate where necessary, and prepare for ongoing legal complexity.</w:t>
      </w:r>
      <w:r/>
    </w:p>
    <w:p>
      <w:r/>
      <w:r>
        <w:t>At a human level, the debate raises a simple question about belonging and dignity. For many trans people, gender-affirming care is a route to living openly and safely. When that route is narrowed, the consequences are both practical and deeply personal.</w:t>
      </w:r>
      <w:r/>
    </w:p>
    <w:p>
      <w:r/>
      <w:r>
        <w:t>It's a small change with big effects , check your options and keep talking to trusted clinicians.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0">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[2]</w:t>
        </w:r>
      </w:hyperlink>
      <w:r>
        <w:t xml:space="preserve">, </w:t>
      </w:r>
      <w:hyperlink r:id="rId11">
        <w:r>
          <w:rPr>
            <w:color w:val="0000EE"/>
            <w:u w:val="single"/>
          </w:rPr>
          <w:t>[4]</w:t>
        </w:r>
      </w:hyperlink>
      <w:r>
        <w:t xml:space="preserve">- Paragraph 4: </w:t>
      </w:r>
      <w:hyperlink r:id="rId14">
        <w:r>
          <w:rPr>
            <w:color w:val="0000EE"/>
            <w:u w:val="single"/>
          </w:rPr>
          <w:t>[7]</w:t>
        </w:r>
      </w:hyperlink>
      <w:r>
        <w:t xml:space="preserve">, </w:t>
      </w:r>
      <w:hyperlink r:id="rId15">
        <w:r>
          <w:rPr>
            <w:color w:val="0000EE"/>
            <w:u w:val="single"/>
          </w:rPr>
          <w:t>[5]</w:t>
        </w:r>
      </w:hyperlink>
      <w:r>
        <w:t xml:space="preserve">- Paragraph 5: </w:t>
      </w:r>
      <w:hyperlink r:id="rId10">
        <w:r>
          <w:rPr>
            <w:color w:val="0000EE"/>
            <w:u w:val="single"/>
          </w:rPr>
          <w:t>[3]</w:t>
        </w:r>
      </w:hyperlink>
      <w:r>
        <w:t xml:space="preserve">, </w:t>
      </w:r>
      <w:hyperlink r:id="rId12">
        <w:r>
          <w:rPr>
            <w:color w:val="0000EE"/>
            <w:u w:val="single"/>
          </w:rPr>
          <w:t>[6]</w:t>
        </w:r>
      </w:hyperlink>
      <w:r>
        <w:t xml:space="preserve">- Paragraph 6: </w:t>
      </w:r>
      <w:hyperlink r:id="rId10">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https://journalrecord.com/2026/06/30/oklahoma-gender-care-law-conflicts-core-freedoms/</w:t>
        </w:r>
      </w:hyperlink>
      <w:r>
        <w:t xml:space="preserve"> - Please view link - unable to able to access data</w:t>
      </w:r>
      <w:r/>
    </w:p>
    <w:p>
      <w:pPr>
        <w:pStyle w:val="ListNumber"/>
        <w:spacing w:line="240" w:lineRule="auto"/>
        <w:ind w:left="720"/>
      </w:pPr>
      <w:r/>
      <w:hyperlink r:id="rId13">
        <w:r>
          <w:rPr>
            <w:color w:val="0000EE"/>
            <w:u w:val="single"/>
          </w:rPr>
          <w:t>https://www.un.org/en/about-us/universal-declaration-of-human-rights</w:t>
        </w:r>
      </w:hyperlink>
      <w:r>
        <w:t xml:space="preserve"> - The Universal Declaration of Human Rights (UDHR), adopted by the United Nations General Assembly in 1948, outlines fundamental human rights to be universally protected. Article 1 states that all human beings are born free and equal in dignity and rights, and should act towards one another in a spirit of brotherhood. This foundational document has inspired numerous human rights treaties and is widely recognised as a milestone in the history of human rights.</w:t>
      </w:r>
      <w:r/>
    </w:p>
    <w:p>
      <w:pPr>
        <w:pStyle w:val="ListNumber"/>
        <w:spacing w:line="240" w:lineRule="auto"/>
        <w:ind w:left="720"/>
      </w:pPr>
      <w:r/>
      <w:hyperlink r:id="rId10">
        <w:r>
          <w:rPr>
            <w:color w:val="0000EE"/>
            <w:u w:val="single"/>
          </w:rPr>
          <w:t>https://www.kosu.org/show/stateimpact-oklahoma/2026-06-18/new-oklahoma-law-disrupts-gender-affirming-care-for-transgender-adults</w:t>
        </w:r>
      </w:hyperlink>
      <w:r>
        <w:t xml:space="preserve"> - A new Oklahoma law has disrupted access to gender-affirming care for transgender adults. The Oklahomans for Equality Health Clinic, which offers services including hormone therapy, has experienced an influx of patients needing to transfer their care due to providers being unable to continue transgender services. As a result, the clinic is booked out for the next five weeks. The law's vague language has left many medical institutions uncertain about its interpretation, impacting the availability of care for transgender individuals.</w:t>
      </w:r>
      <w:r/>
    </w:p>
    <w:p>
      <w:pPr>
        <w:pStyle w:val="ListNumber"/>
        <w:spacing w:line="240" w:lineRule="auto"/>
        <w:ind w:left="720"/>
      </w:pPr>
      <w:r/>
      <w:hyperlink r:id="rId11">
        <w:r>
          <w:rPr>
            <w:color w:val="0000EE"/>
            <w:u w:val="single"/>
          </w:rPr>
          <w:t>https://legalclarity.org/gender-affirming-care-in-oklahoma-laws-bans-access/</w:t>
        </w:r>
      </w:hyperlink>
      <w:r>
        <w:t xml:space="preserve"> - In Oklahoma, adults aged 18 and older can legally obtain hormone therapy and gender-affirming surgical procedures from private healthcare providers. No state law currently prohibits these treatments for adults in the private sector. However, the practical barrier for most adults is cost, as many end up paying out of pocket due to insurance limitations. Temporary DEA flexibilities allow practitioners to prescribe Schedule II through V controlled substances via telehealth without a prior in-person visit through December 31, 2026, potentially aiding those in rural areas.</w:t>
      </w:r>
      <w:r/>
    </w:p>
    <w:p>
      <w:pPr>
        <w:pStyle w:val="ListNumber"/>
        <w:spacing w:line="240" w:lineRule="auto"/>
        <w:ind w:left="720"/>
      </w:pPr>
      <w:r/>
      <w:hyperlink r:id="rId15">
        <w:r>
          <w:rPr>
            <w:color w:val="0000EE"/>
            <w:u w:val="single"/>
          </w:rPr>
          <w:t>https://www.hppr.org/hppr-news/2025-08-11/federal-court-upholds-decision-to-ban-youth-access-to-gender-affirming-care-in-oklahoma</w:t>
        </w:r>
      </w:hyperlink>
      <w:r>
        <w:t xml:space="preserve"> - A federal appeals court has upheld an Oklahoma law prohibiting minors from accessing gender-affirming care, reinforcing a growing trend of legal support for such bans across the country. The decision, released by the Tenth Circuit Court of Appeals, reinforces Senate Bill 613, which stops Oklahomans under 18 from receiving hormone therapy, puberty blocking medications, or surgical gender-affirming care. This ruling aligns with similar legislative actions in other states limiting youth access to gender-affirming treatments.</w:t>
      </w:r>
      <w:r/>
    </w:p>
    <w:p>
      <w:pPr>
        <w:pStyle w:val="ListNumber"/>
        <w:spacing w:line="240" w:lineRule="auto"/>
        <w:ind w:left="720"/>
      </w:pPr>
      <w:r/>
      <w:hyperlink r:id="rId12">
        <w:r>
          <w:rPr>
            <w:color w:val="0000EE"/>
            <w:u w:val="single"/>
          </w:rPr>
          <w:t>https://www.axios.com/2022/10/05/oklahoma-hospital-gender-affirming-care</w:t>
        </w:r>
      </w:hyperlink>
      <w:r>
        <w:t xml:space="preserve"> - The University of Oklahoma Medical Center has ceased providing certain gender-affirming health services for transgender youth under the age of 18. This decision follows Governor Kevin Stitt's signing of a bill that allocates over $108 million in pandemic relief funds to the medical center, contingent on the cessation of such care. The governor expressed opposition to using taxpayer funds for procedures he described as controversial and performed on healthy children. This move is part of a broader trend among Republican-led states enacting laws limiting the rights of transgender youth.</w:t>
      </w:r>
      <w:r/>
    </w:p>
    <w:p>
      <w:pPr>
        <w:pStyle w:val="ListNumber"/>
        <w:spacing w:line="240" w:lineRule="auto"/>
        <w:ind w:left="720"/>
      </w:pPr>
      <w:r/>
      <w:hyperlink r:id="rId14">
        <w:r>
          <w:rPr>
            <w:color w:val="0000EE"/>
            <w:u w:val="single"/>
          </w:rPr>
          <w:t>https://www.axios.com/2023/03/29/transgender-health-care-adult-ban-bills</w:t>
        </w:r>
      </w:hyperlink>
      <w:r>
        <w:t xml:space="preserve"> - Several GOP lawmakers in states such as Kansas, Oklahoma, South Carolina, and Texas are introducing legislation to restrict gender-affirming care for adults under the age of 26. These measures go beyond existing efforts to bar such care for minors, signalling a broader attempt to limit access for the transgender population entirely. One bill in Texas, for example, proposes criminal penalties, including jail time and loss of medical licenses, for healthcare providers who offer or refer gender-affirming care to individuals under 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urnalrecord.com/2026/06/30/oklahoma-gender-care-law-conflicts-core-freedoms/" TargetMode="External"/><Relationship Id="rId10" Type="http://schemas.openxmlformats.org/officeDocument/2006/relationships/hyperlink" Target="https://www.kosu.org/show/stateimpact-oklahoma/2026-06-18/new-oklahoma-law-disrupts-gender-affirming-care-for-transgender-adults" TargetMode="External"/><Relationship Id="rId11" Type="http://schemas.openxmlformats.org/officeDocument/2006/relationships/hyperlink" Target="https://legalclarity.org/gender-affirming-care-in-oklahoma-laws-bans-access/" TargetMode="External"/><Relationship Id="rId12" Type="http://schemas.openxmlformats.org/officeDocument/2006/relationships/hyperlink" Target="https://www.axios.com/2022/10/05/oklahoma-hospital-gender-affirming-care" TargetMode="External"/><Relationship Id="rId13" Type="http://schemas.openxmlformats.org/officeDocument/2006/relationships/hyperlink" Target="https://www.un.org/en/about-us/universal-declaration-of-human-rights" TargetMode="External"/><Relationship Id="rId14" Type="http://schemas.openxmlformats.org/officeDocument/2006/relationships/hyperlink" Target="https://www.axios.com/2023/03/29/transgender-health-care-adult-ban-bills" TargetMode="External"/><Relationship Id="rId15" Type="http://schemas.openxmlformats.org/officeDocument/2006/relationships/hyperlink" Target="https://www.hppr.org/hppr-news/2025-08-11/federal-court-upholds-decision-to-ban-youth-access-to-gender-affirming-care-in-oklaho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