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Universities Can Ensure LGBTQ+ Scientists Thrive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progress while acting: universities, research centres and tech firms must move beyond symbols to concrete steps so LGBTQ+ students and staff can do their best work without hiding who they are. This matters for talent, creativity and trust in science right now.</w:t>
      </w:r>
      <w:r/>
    </w:p>
    <w:p>
      <w:r/>
      <w:r>
        <w:t>Essential Takeaways</w:t>
      </w:r>
      <w:r/>
      <w:r/>
    </w:p>
    <w:p>
      <w:pPr>
        <w:pStyle w:val="ListBullet"/>
        <w:spacing w:line="240" w:lineRule="auto"/>
        <w:ind w:left="720"/>
      </w:pPr>
      <w:r/>
      <w:r>
        <w:rPr>
          <w:b/>
        </w:rPr>
        <w:t>Visible need:</w:t>
      </w:r>
      <w:r>
        <w:t xml:space="preserve"> Mexico has around five million people identifying as LGBTI+ (5.1% of those 15+), most of them young, so campuses will meet these students in growing numbers. </w:t>
      </w:r>
      <w:r/>
    </w:p>
    <w:p>
      <w:pPr>
        <w:pStyle w:val="ListBullet"/>
        <w:spacing w:line="240" w:lineRule="auto"/>
        <w:ind w:left="720"/>
      </w:pPr>
      <w:r/>
      <w:r>
        <w:rPr>
          <w:b/>
        </w:rPr>
        <w:t>Real cost:</w:t>
      </w:r>
      <w:r>
        <w:t xml:space="preserve"> Hiding identity drains energy, creativity and belonging, reducing researchers’ capacity to contribute. </w:t>
      </w:r>
      <w:r/>
    </w:p>
    <w:p>
      <w:pPr>
        <w:pStyle w:val="ListBullet"/>
        <w:spacing w:line="240" w:lineRule="auto"/>
        <w:ind w:left="720"/>
      </w:pPr>
      <w:r/>
      <w:r>
        <w:rPr>
          <w:b/>
        </w:rPr>
        <w:t>Evidence matters:</w:t>
      </w:r>
      <w:r>
        <w:t xml:space="preserve"> Studies link LGBTQ+ status in STEM to career barriers, poorer health and higher exit intentions, not lack of ability. </w:t>
      </w:r>
      <w:r/>
    </w:p>
    <w:p>
      <w:pPr>
        <w:pStyle w:val="ListBullet"/>
        <w:spacing w:line="240" w:lineRule="auto"/>
        <w:ind w:left="720"/>
      </w:pPr>
      <w:r/>
      <w:r>
        <w:rPr>
          <w:b/>
        </w:rPr>
        <w:t>Practical wins:</w:t>
      </w:r>
      <w:r>
        <w:t xml:space="preserve"> Clear policies, anonymous data collection and safe spaces make inclusion tangible and build better teams. </w:t>
      </w:r>
      <w:r/>
    </w:p>
    <w:p>
      <w:pPr>
        <w:pStyle w:val="ListBullet"/>
        <w:spacing w:line="240" w:lineRule="auto"/>
        <w:ind w:left="720"/>
      </w:pPr>
      <w:r/>
      <w:r>
        <w:rPr>
          <w:b/>
        </w:rPr>
        <w:t>Design benefit:</w:t>
      </w:r>
      <w:r>
        <w:t xml:space="preserve"> Diverse teams spot bias earlier and design solutions that serve more people , inclusion boosts excellence, not competes with it.</w:t>
      </w:r>
      <w:r/>
      <w:r/>
    </w:p>
    <w:p>
      <w:pPr>
        <w:pStyle w:val="Heading2"/>
      </w:pPr>
      <w:r>
        <w:t>Why Pride in STEM is more than a month-long banner</w:t>
      </w:r>
      <w:r/>
    </w:p>
    <w:p>
      <w:r/>
      <w:r>
        <w:t>June’s Pride reminders are colourful and stirring, but they’re only useful if they push institutions to change day-to-day practice. The feeling of relief or warmth a Pride flag brings is real; the relief of not having to censor yourself at work is deeper and rarer. For people entering high school, university and research labs, the choice between being authentic and advancing their career should not exist. According to national survey data, a large share of Mexico’s LGBTI+ population is young, which means education and research institutions will increasingly encounter students who expect inclusion as standard.</w:t>
      </w:r>
      <w:r/>
    </w:p>
    <w:p>
      <w:r/>
      <w:r>
        <w:t>Institutions that treat visibility as optional risk losing talent. Research has documented systemic barriers for LGBTQ+ professionals in STEM , from diminished recognition to harassment and higher intentions to leave the field. That’s not a problem of individual grit; it’s a problem of structures that make staying harder than it should be.</w:t>
      </w:r>
      <w:r/>
    </w:p>
    <w:p>
      <w:pPr>
        <w:pStyle w:val="Heading2"/>
      </w:pPr>
      <w:r>
        <w:t>Small exclusions add up to big losses</w:t>
      </w:r>
      <w:r/>
    </w:p>
    <w:p>
      <w:r/>
      <w:r>
        <w:t>The patterns of exclusion aren’t always dramatic. Often they’re a poorly timed joke, an awkward silence, or an assumption that someone fits a narrow mould. Those micro-moments force people to self-edit constantly. That invisible labour consumes emotional bandwidth and reduces the cognitive resources available for rigorous research and creative problem-solving.</w:t>
      </w:r>
      <w:r/>
    </w:p>
    <w:p>
      <w:r/>
      <w:r>
        <w:t>When teams are homogeneous, blind spots creep into projects, from algorithms to clinical trials. A diverse, inclusive team is more likely to ask different questions, consider varied impacts and design solutions that actually work for wider populations. Inclusion isn’t a luxury for PR , it’s an investment in higher-quality science.</w:t>
      </w:r>
      <w:r/>
    </w:p>
    <w:p>
      <w:pPr>
        <w:pStyle w:val="Heading2"/>
      </w:pPr>
      <w:r>
        <w:t>What evidence tells us , and what leaders should do</w:t>
      </w:r>
      <w:r/>
    </w:p>
    <w:p>
      <w:r/>
      <w:r>
        <w:t>Scholars have quantified these trends: LGBTQ+ researchers face higher rates of devaluation and career disruption, while contributions from historically underrepresented groups often show high novelty yet attract less recognition. That suggests two priorities. First, institutions must collect better, confidential data on sexual orientation and gender identity so they can spot gaps and target support. Second, hiring, promotion and award systems need checks to ensure fresh ideas get fair evaluation.</w:t>
      </w:r>
      <w:r/>
    </w:p>
    <w:p>
      <w:r/>
      <w:r>
        <w:t>Practical steps include confidential climate surveys, anonymised application reviews where feasible, training for evaluators on bias, and transparent promotion criteria. The National Academies have emphasised measurement as a foundation for action , you can’t fix what you don’t measure.</w:t>
      </w:r>
      <w:r/>
    </w:p>
    <w:p>
      <w:pPr>
        <w:pStyle w:val="Heading2"/>
      </w:pPr>
      <w:r>
        <w:t>Policies and practices that actually help day-to-day life</w:t>
      </w:r>
      <w:r/>
    </w:p>
    <w:p>
      <w:r/>
      <w:r>
        <w:t>Policy statements are a start, but the change people feel comes from routines and systems. Clear anti-discrimination rules, accessible reporting channels, and well-publicised support networks make a difference. So do mundane but meaningful actions: inclusive language in forms, gender-neutral facilities, parental-leave policies that cover diverse families, and mentoring schemes that pair early-career researchers with senior allies.</w:t>
      </w:r>
      <w:r/>
    </w:p>
    <w:p>
      <w:r/>
      <w:r>
        <w:t>Leaders who are visible and vocal about inclusion matter too. Representation lets younger researchers picture themselves in senior roles; it reduces isolation. Yet visibility must be voluntary. Not everyone can or wants to be visible, and institutions must safeguard privacy and safety for those who choose discretion.</w:t>
      </w:r>
      <w:r/>
    </w:p>
    <w:p>
      <w:pPr>
        <w:pStyle w:val="Heading2"/>
      </w:pPr>
      <w:r>
        <w:t>Building inclusion into research design and teams</w:t>
      </w:r>
      <w:r/>
    </w:p>
    <w:p>
      <w:r/>
      <w:r>
        <w:t>Beyond fairness, inclusivity improves research outcomes. Teams that reflect diverse experiences are better at anticipating ethical issues and unintended consequences, whether in AI, public health or engineering. For applied science , from medical devices to urban planning , that breadth of perspective prevents costly oversights and increases relevance.</w:t>
      </w:r>
      <w:r/>
    </w:p>
    <w:p>
      <w:r/>
      <w:r>
        <w:t>Practically, encourage interdisciplinary collaborations, co-design with affected communities, and diversity checks in project planning. Funders can nudge change by asking how teams will ensure inclusion and by valuing a broader range of contributions during review.</w:t>
      </w:r>
      <w:r/>
    </w:p>
    <w:p>
      <w:r/>
      <w:r>
        <w:t>It's a small change that can make every lab, classroom and project a place where people do their best work without hiding who they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11">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https://www.elfinanciero.com.mx/opinion/colaborador-invitado/2026/06/29/que-nadie-tenga-que-esconderse-para-hacer-ciencia/</w:t>
        </w:r>
      </w:hyperlink>
      <w:r>
        <w:t xml:space="preserve"> - Please view link - unable to able to access data</w:t>
      </w:r>
      <w:r/>
    </w:p>
    <w:p>
      <w:pPr>
        <w:pStyle w:val="ListNumber"/>
        <w:spacing w:line="240" w:lineRule="auto"/>
        <w:ind w:left="720"/>
      </w:pPr>
      <w:r/>
      <w:hyperlink r:id="rId9">
        <w:r>
          <w:rPr>
            <w:color w:val="0000EE"/>
            <w:u w:val="single"/>
          </w:rPr>
          <w:t>https://www.elfinanciero.com.mx/opinion/colaborador-invitado/2026/06/29/que-nadie-tenga-que-esconderse-para-hacer-ciencia/</w:t>
        </w:r>
      </w:hyperlink>
      <w:r>
        <w:t xml:space="preserve"> - In this article, the author discusses the importance of inclusivity in science and technology, particularly for the LGBTQ+ community. They highlight the challenges faced by LGBTQ+ individuals in STEM fields, emphasizing the need for environments where everyone can contribute fully without hiding their identity. The piece also references the National Survey on Sexual and Gender Diversity (ENDISEG) 2021, which reports that 5.1% of Mexico's population aged 15 and over identifies as LGBTI+, with 67.5% of this group being between 15 and 29 years old. The author calls for actionable steps to create inclusive spaces in educational and professional settings, ensuring that individuals are evaluated based on their ideas and contributions rather than their identity.</w:t>
      </w:r>
      <w:r/>
    </w:p>
    <w:p>
      <w:pPr>
        <w:pStyle w:val="ListNumber"/>
        <w:spacing w:line="240" w:lineRule="auto"/>
        <w:ind w:left="720"/>
      </w:pPr>
      <w:r/>
      <w:hyperlink r:id="rId10">
        <w:r>
          <w:rPr>
            <w:color w:val="0000EE"/>
            <w:u w:val="single"/>
          </w:rPr>
          <w:t>https://www.inegi.org.mx/programas/endiseg/2021/default.html</w:t>
        </w:r>
      </w:hyperlink>
      <w:r>
        <w:t xml:space="preserve"> - The National Survey on Sexual and Gender Diversity (ENDISEG) 2021, conducted by the National Institute of Statistics and Geography (INEGI), aims to gather data on the sexual orientation and gender identity of Mexico's population aged 15 and over. The survey covers the entire national territory, including urban and rural areas, and employs a probabilistic, three-stage, stratified sampling scheme. The data collected is intended to inform decision-makers and public policy regarding the LGBTI+ community in Mexico.</w:t>
      </w:r>
      <w:r/>
    </w:p>
    <w:p>
      <w:pPr>
        <w:pStyle w:val="ListNumber"/>
        <w:spacing w:line="240" w:lineRule="auto"/>
        <w:ind w:left="720"/>
      </w:pPr>
      <w:r/>
      <w:hyperlink r:id="rId12">
        <w:r>
          <w:rPr>
            <w:color w:val="0000EE"/>
            <w:u w:val="single"/>
          </w:rPr>
          <w:t>https://pubmed.ncbi.nlm.nih.gov/33523910/</w:t>
        </w:r>
      </w:hyperlink>
      <w:r>
        <w:t xml:space="preserve"> - This study, titled 'Systemic inequalities for LGBTQ professionals in STEM,' examines the challenges faced by LGBTQ+ individuals in science, technology, engineering, and mathematics (STEM) fields. The research highlights that LGBTQ+ professionals often encounter systemic inequalities, including career limitations, harassment, devaluation, health difficulties, and a higher intention to leave their professional field compared to their non-LGBTQ+ peers. The findings underscore the need for systemic changes to create more inclusive and supportive environments in STEM disciplines.</w:t>
      </w:r>
      <w:r/>
    </w:p>
    <w:p>
      <w:pPr>
        <w:pStyle w:val="ListNumber"/>
        <w:spacing w:line="240" w:lineRule="auto"/>
        <w:ind w:left="720"/>
      </w:pPr>
      <w:r/>
      <w:hyperlink r:id="rId11">
        <w:r>
          <w:rPr>
            <w:color w:val="0000EE"/>
            <w:u w:val="single"/>
          </w:rPr>
          <w:t>https://www.ncbi.nlm.nih.gov/sites/books/NBK573262/</w:t>
        </w:r>
      </w:hyperlink>
      <w:r>
        <w:t xml:space="preserve"> - This publication, 'Addressing Diversity, Equity, Inclusion, and Anti-Racism in 21st Century STEMM Organizations,' discusses the importance of diversity and inclusion in science, technology, engineering, mathematics, and medicine (STEMM) organizations. It highlights how racism operates at different levels within these settings and reviews policies and practices for confronting systemic racism. The document also explores ways to advance diversity, equity, and inclusion in STEMM organizations, emphasizing the need for systemic changes to foster inclusive environments.</w:t>
      </w:r>
      <w:r/>
    </w:p>
    <w:p>
      <w:pPr>
        <w:pStyle w:val="ListNumber"/>
        <w:spacing w:line="240" w:lineRule="auto"/>
        <w:ind w:left="720"/>
      </w:pPr>
      <w:r/>
      <w:hyperlink r:id="rId14">
        <w:r>
          <w:rPr>
            <w:color w:val="0000EE"/>
            <w:u w:val="single"/>
          </w:rPr>
          <w:t>https://www.openicpsr.org/openicpsr/project/165063/version/V2/view</w:t>
        </w:r>
      </w:hyperlink>
      <w:r>
        <w:t xml:space="preserve"> - The STEM Inclusion Study, led by Erin Cech and Tom Waidzunas, surveyed the U.S.-based membership of 21 STEM professional societies and organizations between winter 2017 and spring 2019. The study aimed to understand the experiences of LGBTQ+ professionals in STEM fields, focusing on issues such as workplace inequality, career limitations, and the impact of organizational structures on inclusivity. The findings provide valuable insights into the systemic challenges faced by LGBTQ+ individuals in STEM disciplines.</w:t>
      </w:r>
      <w:r/>
    </w:p>
    <w:p>
      <w:pPr>
        <w:pStyle w:val="ListNumber"/>
        <w:spacing w:line="240" w:lineRule="auto"/>
        <w:ind w:left="720"/>
      </w:pPr>
      <w:r/>
      <w:hyperlink r:id="rId13">
        <w:r>
          <w:rPr>
            <w:color w:val="0000EE"/>
            <w:u w:val="single"/>
          </w:rPr>
          <w:t>https://journals.sagepub.com/doi/abs/10.1177/07308884221080938?mi=ehikzz</w:t>
        </w:r>
      </w:hyperlink>
      <w:r>
        <w:t xml:space="preserve"> - This article, 'LGBTQ@NASA and Beyond: Work Structure and Workplace Inequality among LGBTQ STEM Professionals,' examines how organizational processes, particularly the structuring of work tasks, impact LGBTQ+ workers' experiences of marginalization and devaluation in STEM fields. Through interviews with STEM professionals at two NASA space flight centers, the study finds that LGBTQ+ professionals in dynamic, project-based teams experience less inclusive and respectful interactions, as they must rapidly establish credibility and develop new status management strategies with each team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financiero.com.mx/opinion/colaborador-invitado/2026/06/29/que-nadie-tenga-que-esconderse-para-hacer-ciencia/" TargetMode="External"/><Relationship Id="rId10" Type="http://schemas.openxmlformats.org/officeDocument/2006/relationships/hyperlink" Target="https://www.inegi.org.mx/programas/endiseg/2021/default.html" TargetMode="External"/><Relationship Id="rId11" Type="http://schemas.openxmlformats.org/officeDocument/2006/relationships/hyperlink" Target="https://www.ncbi.nlm.nih.gov/sites/books/NBK573262/" TargetMode="External"/><Relationship Id="rId12" Type="http://schemas.openxmlformats.org/officeDocument/2006/relationships/hyperlink" Target="https://pubmed.ncbi.nlm.nih.gov/33523910/" TargetMode="External"/><Relationship Id="rId13" Type="http://schemas.openxmlformats.org/officeDocument/2006/relationships/hyperlink" Target="https://journals.sagepub.com/doi/abs/10.1177/07308884221080938?mi=ehikzz" TargetMode="External"/><Relationship Id="rId14" Type="http://schemas.openxmlformats.org/officeDocument/2006/relationships/hyperlink" Target="https://www.openicpsr.org/openicpsr/project/165063/version/V2/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