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EU Culture Rules After Commission v Hungary: What Changes for Media and Rights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of legal news and culture-watchers have noticed a landmark ruling that reshapes how the EU treats audiovisual content and minority rights; the Court’s decision in Commission v Hungary matters because it draws a firm line between national cultural policy and EU fundamental values, affecting broadcasters, families and LGBTQI+ communities across the bloc.</w:t>
      </w:r>
      <w:r/>
      <w:r/>
    </w:p>
    <w:p>
      <w:pPr>
        <w:pStyle w:val="ListBullet"/>
        <w:spacing w:line="240" w:lineRule="auto"/>
        <w:ind w:left="720"/>
      </w:pPr>
      <w:r/>
      <w:r>
        <w:rPr>
          <w:b/>
        </w:rPr>
        <w:t>Big legal shift:</w:t>
      </w:r>
      <w:r>
        <w:t xml:space="preserve"> The CJEU found Hungary’s restrictions on content about gender and sexual diversity incompatible with EU anti-discrimination law and the AVMSD framework. </w:t>
      </w:r>
      <w:r/>
    </w:p>
    <w:p>
      <w:pPr>
        <w:pStyle w:val="ListBullet"/>
        <w:spacing w:line="240" w:lineRule="auto"/>
        <w:ind w:left="720"/>
      </w:pPr>
      <w:r/>
      <w:r>
        <w:rPr>
          <w:b/>
        </w:rPr>
        <w:t>Content counts:</w:t>
      </w:r>
      <w:r>
        <w:t xml:space="preserve"> EU rules reach into program content, not just technical or market aspects, so what appears on screen can trigger Charter protections. </w:t>
      </w:r>
      <w:r/>
    </w:p>
    <w:p>
      <w:pPr>
        <w:pStyle w:val="ListBullet"/>
        <w:spacing w:line="240" w:lineRule="auto"/>
        <w:ind w:left="720"/>
      </w:pPr>
      <w:r/>
      <w:r>
        <w:rPr>
          <w:b/>
        </w:rPr>
        <w:t>Cultural limits:</w:t>
      </w:r>
      <w:r>
        <w:t xml:space="preserve"> Member States keep room for cultural choices, but that margin ends where measures cause serious, manifest breaches of Article 2 TEU values. </w:t>
      </w:r>
      <w:r/>
    </w:p>
    <w:p>
      <w:pPr>
        <w:pStyle w:val="ListBullet"/>
        <w:spacing w:line="240" w:lineRule="auto"/>
        <w:ind w:left="720"/>
      </w:pPr>
      <w:r/>
      <w:r>
        <w:rPr>
          <w:b/>
        </w:rPr>
        <w:t>Everyday gap:</w:t>
      </w:r>
      <w:r>
        <w:t xml:space="preserve"> The ruling protects rights in law, yet it doesn’t map or remedy the daily, systemic inequalities minorities face. </w:t>
      </w:r>
      <w:r/>
    </w:p>
    <w:p>
      <w:pPr>
        <w:pStyle w:val="ListBullet"/>
        <w:spacing w:line="240" w:lineRule="auto"/>
        <w:ind w:left="720"/>
      </w:pPr>
      <w:r/>
      <w:r>
        <w:rPr>
          <w:b/>
        </w:rPr>
        <w:t>Practical note:</w:t>
      </w:r>
      <w:r>
        <w:t xml:space="preserve"> Broadcasters, regulators and parents now need to reassess classification, scheduling and justification for content restrictions.</w:t>
      </w:r>
      <w:r/>
      <w:r/>
    </w:p>
    <w:p>
      <w:pPr>
        <w:pStyle w:val="Heading2"/>
      </w:pPr>
      <w:r>
        <w:t>What the judgment actually does , content is not off-limits to EU law</w:t>
      </w:r>
      <w:r/>
    </w:p>
    <w:p>
      <w:r/>
      <w:r>
        <w:t>The Court made a clear opening move: audiovisual media services fall squarely within the Union’s regulatory reach when it comes to content. According to the CJEU reasoning, Member States can protect minors, but those measures must obey proportionality and fundamental rights. That matters because it shifts the debate from purely national value-choices to a legal test that checks discrimination and stigmatization. For broadcasters this is practical: decisions about who appears on screen, and how, can no longer be justified solely by a national moral preference. Industry guidance from the Commission and the AVMSD’s general principles provide the legal scaffolding for that review, so media houses and regulators should revisit their content policies and age‑rating practices. Expect questions from compliance teams about how programmes are classified and scheduled.</w:t>
      </w:r>
      <w:r/>
    </w:p>
    <w:p>
      <w:pPr>
        <w:pStyle w:val="Heading2"/>
      </w:pPr>
      <w:r>
        <w:t>Cultural diversity versus EU red lines , where pluralism meets Article 2 TEU</w:t>
      </w:r>
      <w:r/>
    </w:p>
    <w:p>
      <w:r/>
      <w:r>
        <w:t>The Court acknowledged that Member States have distinct sociocultural characteristics that inform laws on everything from shop opening times to media. Yet the ruling also insists there are limits: cultural diversity in the EU stops where measures cause severe violations of Union values under Article 2 TEU. That’s a normative step , it makes pluralism conditional on respect for core rights. Legal observers note this is a firmer stance than the Court’s past habit of detailed balancing; here the seriousness of the breaches removed much room for compromise. Politically, that tightens Brussels’ hand in disputes where national identity claims collide with anti‑discrimination principles.</w:t>
      </w:r>
      <w:r/>
    </w:p>
    <w:p>
      <w:pPr>
        <w:pStyle w:val="Heading2"/>
      </w:pPr>
      <w:r>
        <w:t>Protection in doctrine, but not a map of lived realities</w:t>
      </w:r>
      <w:r/>
    </w:p>
    <w:p>
      <w:r/>
      <w:r>
        <w:t>A striking gap in the judgment is what it leaves out: the everyday social dynamics that shape minorities’ lives. The CJEU’s task under Article 258 TFEU was to determine legal compliance, not to design social policy. As a result, the reasoning secures protections on paper , particularly via the EU Charter , without addressing systemic discrimination, cultural representation or how media inclusion affects real communities. Lawyers and campaigners will say the judgement is vital, but insufficient: law has marked a border, yet social work, education and cultural policy will still be needed to close the lived‑experience gap. For activists, that means continuing pressure at national and local levels even while celebrating the legal win.</w:t>
      </w:r>
      <w:r/>
    </w:p>
    <w:p>
      <w:pPr>
        <w:pStyle w:val="Heading2"/>
      </w:pPr>
      <w:r>
        <w:t>What broadcasters, platforms and parents should do next</w:t>
      </w:r>
      <w:r/>
    </w:p>
    <w:p>
      <w:r/>
      <w:r>
        <w:t>Practical steps follow fast from the ruling. Broadcasters and streaming platforms must ensure their classification and scheduling systems meet the proportionality test in the AVMSD, and that any restrictions aren’t a proxy for discrimination. Regulators should update guidance and enforcement practices so decisions are transparent and evidence‑based. Parents and carers who worry about children’s exposure to certain topics can lean on clearer age‑rating tools rather than blanket bans. In short, the decision nudges the industry toward nuanced moderation and better parental controls rather than blunt exclusions.</w:t>
      </w:r>
      <w:r/>
    </w:p>
    <w:p>
      <w:pPr>
        <w:pStyle w:val="Heading2"/>
      </w:pPr>
      <w:r>
        <w:t>Looking forward , rights, culture and the slow work of social change</w:t>
      </w:r>
      <w:r/>
    </w:p>
    <w:p>
      <w:r/>
      <w:r>
        <w:t>Commission v Hungary sets an important precedent: the EU will act as a bulwark against state measures that stigmatise minorities through media regulation. But the law’s reach is limited when it comes to reshaping cultural attitudes or remedying structural inequality. The challenge now is twofold , enforce the legal standard consistently across member states, and bolster policies that translate rights into everyday inclusion, from school curricula to public broadcasting schedules. It’s a reminder that court rulings can change legal contours quickly, but cultural change tends to be slower and more stubborn.</w:t>
      </w:r>
      <w:r/>
    </w:p>
    <w:p>
      <w:r/>
      <w:r>
        <w:t>It's a small legal turn with big cultural consequences , and the work of translating rights into lived equality continues.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3">
        <w:r>
          <w:rPr>
            <w:color w:val="0000EE"/>
            <w:u w:val="single"/>
          </w:rPr>
          <w:t>[7]</w:t>
        </w:r>
      </w:hyperlink>
      <w:r>
        <w:t xml:space="preserve">- Paragraph 4: </w:t>
      </w:r>
      <w:hyperlink r:id="rId11">
        <w:r>
          <w:rPr>
            <w:color w:val="0000EE"/>
            <w:u w:val="single"/>
          </w:rPr>
          <w:t>[3]</w:t>
        </w:r>
      </w:hyperlink>
      <w:r>
        <w:t xml:space="preserve">, </w:t>
      </w:r>
      <w:hyperlink r:id="rId12">
        <w:r>
          <w:rPr>
            <w:color w:val="0000EE"/>
            <w:u w:val="single"/>
          </w:rPr>
          <w:t>[4]</w:t>
        </w:r>
      </w:hyperlink>
      <w:r>
        <w:t xml:space="preserve">- Paragraph 5: </w:t>
      </w:r>
      <w:hyperlink r:id="rId14">
        <w:r>
          <w:rPr>
            <w:color w:val="0000EE"/>
            <w:u w:val="single"/>
          </w:rPr>
          <w:t>[6]</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https://verfassungsblog.de/culture-and-law-commission-v-hungary/</w:t>
        </w:r>
      </w:hyperlink>
      <w:r>
        <w:t xml:space="preserve"> - Please view link - unable to able to access data</w:t>
      </w:r>
      <w:r/>
    </w:p>
    <w:p>
      <w:pPr>
        <w:pStyle w:val="ListNumber"/>
        <w:spacing w:line="240" w:lineRule="auto"/>
        <w:ind w:left="720"/>
      </w:pPr>
      <w:r/>
      <w:hyperlink r:id="rId10">
        <w:r>
          <w:rPr>
            <w:color w:val="0000EE"/>
            <w:u w:val="single"/>
          </w:rPr>
          <w:t>https://curia.europa.eu/juris/document/document.jsf?text=&amp;docid=276019&amp;pageIndex=0&amp;doclang=EN&amp;mode=req&amp;dir=&amp;occ=first&amp;part=1&amp;cid=105013</w:t>
        </w:r>
      </w:hyperlink>
      <w:r>
        <w:t xml:space="preserve"> - The Court of Justice of the European Union (CJEU) delivered its judgment in case C-769/22 Commission v Hungary on 21 April 2026. The case examined whether Hungary's law, which restricted access to content portraying or promoting gender identities differing from the sex assigned at birth, sex reassignment, or homosexuality, violated EU law. The Court found that Hungary's measures breached EU internal market rules and fundamental rights, including the prohibition of discrimination based on sexual orientation, and violated the EU's core values as enshrined in Article 2 of the Treaty on European Union (TEU).</w:t>
      </w:r>
      <w:r/>
    </w:p>
    <w:p>
      <w:pPr>
        <w:pStyle w:val="ListNumber"/>
        <w:spacing w:line="240" w:lineRule="auto"/>
        <w:ind w:left="720"/>
      </w:pPr>
      <w:r/>
      <w:hyperlink r:id="rId11">
        <w:r>
          <w:rPr>
            <w:color w:val="0000EE"/>
            <w:u w:val="single"/>
          </w:rPr>
          <w:t>https://digital-strategy.ec.europa.eu/en/policies/general-principles-avmsd</w:t>
        </w:r>
      </w:hyperlink>
      <w:r>
        <w:t xml:space="preserve"> - The Audiovisual Media Services Directive (AVMSD) is a key piece of EU legislation that coordinates national laws on audiovisual media, including traditional TV broadcasts and on-demand services. The Directive aims to ensure a high level of protection for minors and promote cultural diversity. It establishes rules to protect minors from harmful content and prohibits incitement to hatred based on various grounds, including sexual orientation. The AVMSD applies to all audiovisual media services, regardless of the technology used to deliver the content, and distinguishes between linear (television broadcasts) and non-linear (on-demand) services.</w:t>
      </w:r>
      <w:r/>
    </w:p>
    <w:p>
      <w:pPr>
        <w:pStyle w:val="ListNumber"/>
        <w:spacing w:line="240" w:lineRule="auto"/>
        <w:ind w:left="720"/>
      </w:pPr>
      <w:r/>
      <w:hyperlink r:id="rId12">
        <w:r>
          <w:rPr>
            <w:color w:val="0000EE"/>
            <w:u w:val="single"/>
          </w:rPr>
          <w:t>https://www.obs.coe.int/en/web/observatoire/the-audiovisual-media-services-directive-avmsd</w:t>
        </w:r>
      </w:hyperlink>
      <w:r>
        <w:t xml:space="preserve"> - The Audiovisual Media Services Directive (AVMSD) governs EU-wide coordination of national legislation on all audiovisual media, including traditional TV broadcasts, on-demand services, and video-sharing platforms. The Directive aims to foster cultural diversity by imposing obligations on video-on-demand services to include European works in their catalogues and by applying the targeted country's rules regarding financial contributions to both linear and non-linear services. The 2018 revision of the AVMSD addressed rapid changes in the audiovisual media services ecosystem, providing specific rules for video-sharing platform providers established in EU member states.</w:t>
      </w:r>
      <w:r/>
    </w:p>
    <w:p>
      <w:pPr>
        <w:pStyle w:val="ListNumber"/>
        <w:spacing w:line="240" w:lineRule="auto"/>
        <w:ind w:left="720"/>
      </w:pPr>
      <w:r/>
      <w:hyperlink r:id="rId15">
        <w:r>
          <w:rPr>
            <w:color w:val="0000EE"/>
            <w:u w:val="single"/>
          </w:rPr>
          <w:t>https://www.europarl.europa.eu/factsheets/en/sheet/138/audio</w:t>
        </w:r>
      </w:hyperlink>
      <w:r>
        <w:t xml:space="preserve"> - Audiovisual policy in the European Union is governed by Articles 167 and 173 of the Treaty on the Functioning of the European Union (TFEU). The key piece of legislation in this field is the Audiovisual Media Services Directive (AVMSD). The Charter of Fundamental Rights of the European Union demands respect for the freedom and pluralism of the media. The European Media Freedom Act establishes a common framework for media services in the internal market. The AVMSD coordinates national legislation on all audiovisual media, including traditional TV broadcasts and on-demand services, to ensure a high level of protection for minors and promote cultural diversity.</w:t>
      </w:r>
      <w:r/>
    </w:p>
    <w:p>
      <w:pPr>
        <w:pStyle w:val="ListNumber"/>
        <w:spacing w:line="240" w:lineRule="auto"/>
        <w:ind w:left="720"/>
      </w:pPr>
      <w:r/>
      <w:hyperlink r:id="rId14">
        <w:r>
          <w:rPr>
            <w:color w:val="0000EE"/>
            <w:u w:val="single"/>
          </w:rPr>
          <w:t>https://www.arendt.com/news-insights/news/c-769-22-reinforcing-eu-law-and-its-fundamental-values/</w:t>
        </w:r>
      </w:hyperlink>
      <w:r>
        <w:t xml:space="preserve"> - In its judgment of 21 April 2026 on C-769/22, the CJEU found that by introducing measures restricting access to content portraying or promoting gender identities that differ from the sex assigned at birth, sex reassignment, or homosexuality, Hungary had breached both primary and derived EU law relating to the freedom to provide services within the internal market. It also identified violations of several rights guaranteed by the Charter of Fundamental Rights of the European Union, as well as of the GDPR, the Services and Audiovisual Media Services Directives, and, most notably, a breach of Article 2 TEU, which contains the fundamental values of the EU.</w:t>
      </w:r>
      <w:r/>
    </w:p>
    <w:p>
      <w:pPr>
        <w:pStyle w:val="ListNumber"/>
        <w:spacing w:line="240" w:lineRule="auto"/>
        <w:ind w:left="720"/>
      </w:pPr>
      <w:r/>
      <w:hyperlink r:id="rId13">
        <w:r>
          <w:rPr>
            <w:color w:val="0000EE"/>
            <w:u w:val="single"/>
          </w:rPr>
          <w:t>https://epthinktank.eu/2026/05/07/hungarys-anti-lgbti-law-and-eu-values-the-cjeus-landmark-article-2-teu-judgment/</w:t>
        </w:r>
      </w:hyperlink>
      <w:r>
        <w:t xml:space="preserve"> - On 21 April 2026, the CJEU adopted its judgment in case C-769/22 Commission v. Hungary. This is the first time that the Court found a violation of human dignity, as well as for an autonomous violation of Article 2 of the Treaty on European Union (TEU) on values of the Union. The case concerned Hungary's 2021 law restricting access to LGBTI-related content, which the Court found violated EU law, including internal market rules, fundamental rights, and the EU's values as set out in Article 2 TEU.</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verfassungsblog.de/culture-and-law-commission-v-hungary/" TargetMode="External"/><Relationship Id="rId10" Type="http://schemas.openxmlformats.org/officeDocument/2006/relationships/hyperlink" Target="https://curia.europa.eu/juris/document/document.jsf?text=&amp;docid=276019&amp;pageIndex=0&amp;doclang=EN&amp;mode=req&amp;dir=&amp;occ=first&amp;part=1&amp;cid=105013" TargetMode="External"/><Relationship Id="rId11" Type="http://schemas.openxmlformats.org/officeDocument/2006/relationships/hyperlink" Target="https://digital-strategy.ec.europa.eu/en/policies/general-principles-avmsd" TargetMode="External"/><Relationship Id="rId12" Type="http://schemas.openxmlformats.org/officeDocument/2006/relationships/hyperlink" Target="https://www.obs.coe.int/en/web/observatoire/the-audiovisual-media-services-directive-avmsd" TargetMode="External"/><Relationship Id="rId13" Type="http://schemas.openxmlformats.org/officeDocument/2006/relationships/hyperlink" Target="https://epthinktank.eu/2026/05/07/hungarys-anti-lgbti-law-and-eu-values-the-cjeus-landmark-article-2-teu-judgment/" TargetMode="External"/><Relationship Id="rId14" Type="http://schemas.openxmlformats.org/officeDocument/2006/relationships/hyperlink" Target="https://www.arendt.com/news-insights/news/c-769-22-reinforcing-eu-law-and-its-fundamental-values/" TargetMode="External"/><Relationship Id="rId15" Type="http://schemas.openxmlformats.org/officeDocument/2006/relationships/hyperlink" Target="https://www.europarl.europa.eu/factsheets/en/sheet/138/audi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