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on EU Values: What Commission v Hungary Means for Queer Material Equality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for legal clarity might feel short-changed, but owners of queer rights advocacy are watching closely: the Court of Justice’s ruling against Hungary touches the EU’s idea of society, yet questions remain about whether it changes everyday material realities for LGBTIQ+ people and others who face structural exclusion.</w:t>
      </w:r>
      <w:r/>
    </w:p>
    <w:p>
      <w:r/>
      <w:r>
        <w:t>Essential Takeaways</w:t>
      </w:r>
      <w:r/>
      <w:r/>
    </w:p>
    <w:p>
      <w:pPr>
        <w:pStyle w:val="ListBullet"/>
        <w:spacing w:line="240" w:lineRule="auto"/>
        <w:ind w:left="720"/>
      </w:pPr>
      <w:r/>
      <w:r>
        <w:rPr>
          <w:b/>
        </w:rPr>
        <w:t>Landmark ruling:</w:t>
      </w:r>
      <w:r>
        <w:t xml:space="preserve"> The CJEU found Hungary’s law violated Article 2 TEU by promoting stigmatisation and social invisibility, signalling a value-driven constitutional stance. </w:t>
      </w:r>
      <w:r/>
    </w:p>
    <w:p>
      <w:pPr>
        <w:pStyle w:val="ListBullet"/>
        <w:spacing w:line="240" w:lineRule="auto"/>
        <w:ind w:left="720"/>
      </w:pPr>
      <w:r/>
      <w:r>
        <w:rPr>
          <w:b/>
        </w:rPr>
        <w:t>Visibility flagged:</w:t>
      </w:r>
      <w:r>
        <w:t xml:space="preserve"> The Court tied marginalisation and invisibility to breaches of human dignity and equality, a pivot towards recognising social stigma as legally harmful. </w:t>
      </w:r>
      <w:r/>
    </w:p>
    <w:p>
      <w:pPr>
        <w:pStyle w:val="ListBullet"/>
        <w:spacing w:line="240" w:lineRule="auto"/>
        <w:ind w:left="720"/>
      </w:pPr>
      <w:r/>
      <w:r>
        <w:rPr>
          <w:b/>
        </w:rPr>
        <w:t>Limits of law:</w:t>
      </w:r>
      <w:r>
        <w:t xml:space="preserve"> Legal victories don’t automatically change material conditions; implementation gaps and market or political incentives can blunt impact. </w:t>
      </w:r>
      <w:r/>
    </w:p>
    <w:p>
      <w:pPr>
        <w:pStyle w:val="ListBullet"/>
        <w:spacing w:line="240" w:lineRule="auto"/>
        <w:ind w:left="720"/>
      </w:pPr>
      <w:r/>
      <w:r>
        <w:rPr>
          <w:b/>
        </w:rPr>
        <w:t>Broader blind spots:</w:t>
      </w:r>
      <w:r>
        <w:t xml:space="preserve"> Similar EU case law (veil and some asylum cases) shows how values can be applied selectively, at times sustaining exclusion. </w:t>
      </w:r>
      <w:r/>
    </w:p>
    <w:p>
      <w:pPr>
        <w:pStyle w:val="ListBullet"/>
        <w:spacing w:line="240" w:lineRule="auto"/>
        <w:ind w:left="720"/>
      </w:pPr>
      <w:r/>
      <w:r>
        <w:rPr>
          <w:b/>
        </w:rPr>
        <w:t>Queer materialism matters:</w:t>
      </w:r>
      <w:r>
        <w:t xml:space="preserve"> Analysing the judgment through a queer materialist lens highlights how pluralism may normalise unequal social relations rather than uproot them.</w:t>
      </w:r>
      <w:r/>
      <w:r/>
    </w:p>
    <w:p>
      <w:pPr>
        <w:pStyle w:val="Heading2"/>
      </w:pPr>
      <w:r>
        <w:t>Why the judgment felt like a win , and why you should squint at the fine print</w:t>
      </w:r>
      <w:r/>
    </w:p>
    <w:p>
      <w:r/>
      <w:r>
        <w:t>The CJEU’s decision marked a clear statement: laws that institutionalise stigmatisation and make groups socially invisible conflict with the EU’s founding values. That’s a warming sight for activists who have watched discriminatory measures spread across Member States. But the textual clarity of a Luxembourg judgment doesn’t mean the lived warmth of change reaches every community. Reuters-style reporting on legal milestones often misses what actually happens after a ruling lands: enforcement, political pushback and social habits are the hard work that follows.</w:t>
      </w:r>
      <w:r/>
    </w:p>
    <w:p>
      <w:pPr>
        <w:pStyle w:val="Heading2"/>
      </w:pPr>
      <w:r>
        <w:t>Visibility versus material change , the trap of pluralism</w:t>
      </w:r>
      <w:r/>
    </w:p>
    <w:p>
      <w:r/>
      <w:r>
        <w:t>The Court emphasised pluralism and dignity, and that matters symbolically. Yet queer materialists caution that celebrating visibility as the endpoint can be misleading. Visibility can be commodified, and pluralism, left unexamined, often coexists with deep economic and social hierarchies. That’s the worry: a law that protects symbolic inclusion without addressing workplace precarity, healthcare access, or school bullying risks trading genuine transformation for a neat headline.</w:t>
      </w:r>
      <w:r/>
    </w:p>
    <w:p>
      <w:pPr>
        <w:pStyle w:val="Heading2"/>
      </w:pPr>
      <w:r>
        <w:t>Implementation gaps: when rulings meet reality</w:t>
      </w:r>
      <w:r/>
    </w:p>
    <w:p>
      <w:r/>
      <w:r>
        <w:t>Past CJEU wins, like the Coman decision on same-sex spousal residence, show how tidy judgments can meet a messy European reality. Advocate General Ćapeta herself warned that judicial pronouncements are only part of the solution. In practice, member states and local institutions may drag their feet, reinterpret duties, or rely on technicalities. The lesson is practical: court triumphs need follow-up , monitoring, political pressure, and resources to translate rights into everyday protections.</w:t>
      </w:r>
      <w:r/>
    </w:p>
    <w:p>
      <w:pPr>
        <w:pStyle w:val="Heading2"/>
      </w:pPr>
      <w:r>
        <w:t>Selective application: the other cases that complicate the story</w:t>
      </w:r>
      <w:r/>
    </w:p>
    <w:p>
      <w:r/>
      <w:r>
        <w:t>You can’t read Commission v Hungary in isolation. The court’s handling of workplace headscarf cases and certain asylum rulings reveals uneven use of values. In some instances, the formal legal test shields employers’ “neutrality” policies or polices asylum seekers’ claims about gendered persecution. Those outcomes suggest that invoking values can sometimes paper over economic or racialised exclusion rather than dismantle it. For campaigners, that inconsistency is a blunt reminder to press for coherent standards across areas of law.</w:t>
      </w:r>
      <w:r/>
    </w:p>
    <w:p>
      <w:pPr>
        <w:pStyle w:val="Heading2"/>
      </w:pPr>
      <w:r>
        <w:t>What a queer materialist lens adds , and what to do next</w:t>
      </w:r>
      <w:r/>
    </w:p>
    <w:p>
      <w:r/>
      <w:r>
        <w:t>Reading the judgment through queer materialism reframes the stakes: it asks whether law addresses the structures that produce marginalisation, not just its visible symptoms. From this perspective, the EU’s promise of a plural society needs to be tied to redistributive policies, anti-poverty measures and workplace protections that actually change life chances. Practically, that means activists and policymakers should push for impact assessments, funding for local implementation, and attention to how economic incentives shape inclusion.</w:t>
      </w:r>
      <w:r/>
    </w:p>
    <w:p>
      <w:r/>
      <w:r>
        <w:t>It's a small change that can make every legal victory count only if the focus moves from applause in Brussels to everyday conditions on the ground.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[4]</w:t>
        </w:r>
      </w:hyperlink>
      <w:r>
        <w:t xml:space="preserve">- Paragraph 2: </w:t>
      </w:r>
      <w:hyperlink r:id="rId9">
        <w:r>
          <w:rPr>
            <w:color w:val="0000EE"/>
            <w:u w:val="single"/>
          </w:rPr>
          <w:t>[5]</w:t>
        </w:r>
      </w:hyperlink>
      <w:r>
        <w:t xml:space="preserve">, </w:t>
      </w:r>
      <w:hyperlink r:id="rId12">
        <w:r>
          <w:rPr>
            <w:color w:val="0000EE"/>
            <w:u w:val="single"/>
          </w:rPr>
          <w:t>[6]</w:t>
        </w:r>
      </w:hyperlink>
      <w:r>
        <w:t xml:space="preserve">- Paragraph 3: </w:t>
      </w:r>
      <w:hyperlink r:id="rId10">
        <w:r>
          <w:rPr>
            <w:color w:val="0000EE"/>
            <w:u w:val="single"/>
          </w:rPr>
          <w:t>[3]</w:t>
        </w:r>
      </w:hyperlink>
      <w:r>
        <w:t xml:space="preserve">, </w:t>
      </w:r>
      <w:hyperlink r:id="rId13">
        <w:r>
          <w:rPr>
            <w:color w:val="0000EE"/>
            <w:u w:val="single"/>
          </w:rPr>
          <w:t>[2]</w:t>
        </w:r>
      </w:hyperlink>
      <w:r>
        <w:t xml:space="preserve">- Paragraph 4: </w:t>
      </w:r>
      <w:hyperlink r:id="rId9">
        <w:r>
          <w:rPr>
            <w:color w:val="0000EE"/>
            <w:u w:val="single"/>
          </w:rPr>
          <w:t>[5]</w:t>
        </w:r>
      </w:hyperlink>
      <w:r>
        <w:t xml:space="preserve">, </w:t>
      </w:r>
      <w:hyperlink r:id="rId11">
        <w:r>
          <w:rPr>
            <w:color w:val="0000EE"/>
            <w:u w:val="single"/>
          </w:rPr>
          <w:t>[4]</w:t>
        </w:r>
      </w:hyperlink>
      <w:r>
        <w:t xml:space="preserve">- Paragraph 5: </w:t>
      </w:r>
      <w:hyperlink r:id="rId12">
        <w:r>
          <w:rPr>
            <w:color w:val="0000EE"/>
            <w:u w:val="single"/>
          </w:rPr>
          <w:t>[6]</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https://verfassungsblog.de/a-queerer-european-society/</w:t>
        </w:r>
      </w:hyperlink>
      <w:r>
        <w:t xml:space="preserve"> - Please view link - unable to able to access data</w:t>
      </w:r>
      <w:r/>
    </w:p>
    <w:p>
      <w:pPr>
        <w:pStyle w:val="ListNumber"/>
        <w:spacing w:line="240" w:lineRule="auto"/>
        <w:ind w:left="720"/>
      </w:pPr>
      <w:r/>
      <w:hyperlink r:id="rId13">
        <w:r>
          <w:rPr>
            <w:color w:val="0000EE"/>
            <w:u w:val="single"/>
          </w:rPr>
          <w:t>https://curia.europa.eu/juris/document/document.jsf?text=&amp;docid=276019&amp;pageIndex=0&amp;doclang=EN&amp;mode=req&amp;dir=&amp;occ=first&amp;part=1&amp;cid=6467879</w:t>
        </w:r>
      </w:hyperlink>
      <w:r>
        <w:t xml:space="preserve"> - On 21 April 2026, the Court of Justice of the European Union (CJEU) delivered its judgment in case C-769/22 Commission v Hungary. The Court examined whether a Member State can prohibit or restrict access to LGBTI+ content, allegedly to protect children. Hungary had enacted a law in 2021 introducing stricter measures against individuals convicted of paedophilia, which also prohibited or restricted access to content portraying or promoting gender identities differing from the sex assigned at birth, sex reassignment, or homosexuality. The European Commission brought an infringement action against Hungary, arguing that the law stigmatised and marginalised LGBTI+ individuals, violating EU law, including internal market rules, fundamental rights, and the EU’s values as set out in Article 2 of the Treaty on European Union. The Court ruled that Hungary's law violated the EU's founding values, including respect for human dignity, equality, and respect for human rights, as enshrined in Article 2 TEU. The judgment marked a significant advancement in EU law, affirming the judicialisation of fundamental values and the legal existence of European society.</w:t>
      </w:r>
      <w:r/>
    </w:p>
    <w:p>
      <w:pPr>
        <w:pStyle w:val="ListNumber"/>
        <w:spacing w:line="240" w:lineRule="auto"/>
        <w:ind w:left="720"/>
      </w:pPr>
      <w:r/>
      <w:hyperlink r:id="rId10">
        <w:r>
          <w:rPr>
            <w:color w:val="0000EE"/>
            <w:u w:val="single"/>
          </w:rPr>
          <w:t>https://epthinktank.eu/2026/05/07/hungarys-anti-lgbti-law-and-eu-values-the-cjeus-landmark-article-2-teu-judgment/</w:t>
        </w:r>
      </w:hyperlink>
      <w:r>
        <w:t xml:space="preserve"> - On 21 April 2026, the Court of Justice of the European Union (CJEU) delivered a landmark judgment in case C-769/22 Commission v Hungary, concerning Hungary's 2021 law restricting access to LGBTI-related content. The Court found, for the first time, both a breach of Article 1 of the Charter of Fundamental Rights (CFR) on human dignity and a self-standing breach of Article 2 TEU on the values of the EU. The judgment addressed Hungary's law that prohibited minors from accessing content related to LGBTI people and rights, arguing that it violated the EU's founding values, including respect for human dignity, equality, and respect for human rights. The ruling underscored the EU's commitment to upholding fundamental rights and values within its member states.</w:t>
      </w:r>
      <w:r/>
    </w:p>
    <w:p>
      <w:pPr>
        <w:pStyle w:val="ListNumber"/>
        <w:spacing w:line="240" w:lineRule="auto"/>
        <w:ind w:left="720"/>
      </w:pPr>
      <w:r/>
      <w:hyperlink r:id="rId11">
        <w:r>
          <w:rPr>
            <w:color w:val="0000EE"/>
            <w:u w:val="single"/>
          </w:rPr>
          <w:t>https://en.wikipedia.org/wiki/Commission_v_Hungary_(C-769/22)</w:t>
        </w:r>
      </w:hyperlink>
      <w:r>
        <w:t xml:space="preserve"> - Commission v Hungary (C-769/22) is a judgment of the European Court of Justice (ECJ) delivered in April 2026 concerning an anti-LGBTI law enacted by Hungary. The Court ruled that the law violates the founding values of the European Union as enshrined in Article 2 of the Treaty on European Union (TEU), as well as Article 1 of the Charter of Fundamental Rights of the European Union (CFR), regarding the inviolability of human dignity. It is the first time that either article has been applied in a ruling by the Court of Justice of the European Union. The case involved Hungary's 2021 law that prohibited minors from accessing content related to LGBTI people and rights. The European Commission initiated infringement proceedings against Hungary, arguing that the law violated EU law, including internal market rules, fundamental rights, and the EU’s values as set out in Article 2 TEU. The Court found that Hungary's law violated the EU's founding values, including respect for human dignity, equality, and respect for human rights, as enshrined in Article 2 TEU. The judgment marked a significant advancement in EU law, affirming the judicialisation of fundamental values and the legal existence of European society.</w:t>
      </w:r>
      <w:r/>
    </w:p>
    <w:p>
      <w:pPr>
        <w:pStyle w:val="ListNumber"/>
        <w:spacing w:line="240" w:lineRule="auto"/>
        <w:ind w:left="720"/>
      </w:pPr>
      <w:r/>
      <w:hyperlink r:id="rId9">
        <w:r>
          <w:rPr>
            <w:color w:val="0000EE"/>
            <w:u w:val="single"/>
          </w:rPr>
          <w:t>https://verfassungsblog.de/a-queerer-european-society/</w:t>
        </w:r>
      </w:hyperlink>
      <w:r>
        <w:t xml:space="preserve"> - The article 'A Queer(er) European Society? Commission v Hungary from a Queer Materialist Perspective' examines the CJEU's judgment in case C-769/22 Commission v Hungary from a critical queer perspective. The author argues that the Court's underdeveloped elaboration on the politics of values eschews material structures of oppression and exploitation, potentially foreclosing transformative legal interventions. The article adopts a queer materialist approach, centering on the questioning of structures through which exploitative and oppressive social relations are reproduced along gendered and sexual faultlines. It critiques the Court's focus on pluralism and the liberal promise of diversity and plurality, suggesting that it risks obfuscating the material underpinnings of stigmatisation, marginalisation, and social invisibility suffered by queer subjects. The author calls for a more radical questioning of the terms of the win for LGBTIQ+ inclusion, emphasizing the need to address the material reproduction of exploitative and oppressive social relations.</w:t>
      </w:r>
      <w:r/>
    </w:p>
    <w:p>
      <w:pPr>
        <w:pStyle w:val="ListNumber"/>
        <w:spacing w:line="240" w:lineRule="auto"/>
        <w:ind w:left="720"/>
      </w:pPr>
      <w:r/>
      <w:hyperlink r:id="rId12">
        <w:r>
          <w:rPr>
            <w:color w:val="0000EE"/>
            <w:u w:val="single"/>
          </w:rPr>
          <w:t>https://www.bloomsbury.com/uk/queer-materialism-9781350190190/</w:t>
        </w:r>
      </w:hyperlink>
      <w:r>
        <w:t xml:space="preserve"> - The book 'Queer Materialism' by Davide Tomaselli explores the concept of queer materialism, focusing on how gender and sexuality substantiate hierarchies, distribute power, and condition life possibilities. The author argues that a queer materialist approach does not centre on LGBTIQ+ people's institutional claims to recognition and inclusion but rather questions the structures through which exploitative and oppressive social relations are reproduced along gendered and sexual faultlines. The book provides a critical analysis of the material underpinnings of stigmatisation, marginalisation, and social invisibility suffered by queer subjects, offering insights into how these issues can be addressed within legal and social frameworks.</w:t>
      </w:r>
      <w:r/>
    </w:p>
    <w:p>
      <w:pPr>
        <w:pStyle w:val="ListNumber"/>
        <w:spacing w:line="240" w:lineRule="auto"/>
        <w:ind w:left="720"/>
      </w:pPr>
      <w:r/>
      <w:hyperlink r:id="rId14">
        <w:r>
          <w:rPr>
            <w:color w:val="0000EE"/>
            <w:u w:val="single"/>
          </w:rPr>
          <w:t>https://brill.com/view/title/34735</w:t>
        </w:r>
      </w:hyperlink>
      <w:r>
        <w:t xml:space="preserve"> - The book 'Queer Materialism' by Davide Tomaselli offers a critical examination of how gender and sexuality substantiate hierarchies, distribute power, and condition life possibilities. The author adopts a queer materialist approach, focusing on questioning the structures through which exploitative and oppressive social relations are reproduced along gendered and sexual faultlines. The book provides an in-depth analysis of the material underpinnings of stigmatisation, marginalisation, and social invisibility suffered by queer subjects, and discusses how these issues can be addressed within legal and social contexts. It is a valuable resource for understanding the intersections of queer theory, materialism, and social justice.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verfassungsblog.de/a-queerer-european-society/" TargetMode="External"/><Relationship Id="rId10" Type="http://schemas.openxmlformats.org/officeDocument/2006/relationships/hyperlink" Target="https://epthinktank.eu/2026/05/07/hungarys-anti-lgbti-law-and-eu-values-the-cjeus-landmark-article-2-teu-judgment/" TargetMode="External"/><Relationship Id="rId11" Type="http://schemas.openxmlformats.org/officeDocument/2006/relationships/hyperlink" Target="https://en.wikipedia.org/wiki/Commission_v_Hungary_(C-769/22)" TargetMode="External"/><Relationship Id="rId12" Type="http://schemas.openxmlformats.org/officeDocument/2006/relationships/hyperlink" Target="https://www.bloomsbury.com/uk/queer-materialism-9781350190190/" TargetMode="External"/><Relationship Id="rId13" Type="http://schemas.openxmlformats.org/officeDocument/2006/relationships/hyperlink" Target="https://curia.europa.eu/juris/document/document.jsf?text=&amp;docid=276019&amp;pageIndex=0&amp;doclang=EN&amp;mode=req&amp;dir=&amp;occ=first&amp;part=1&amp;cid=6467879" TargetMode="External"/><Relationship Id="rId14" Type="http://schemas.openxmlformats.org/officeDocument/2006/relationships/hyperlink" Target="https://brill.com/view/title/3473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