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Protection for Filipino LGBTQ+ Health: Why Search Data Signals an Emergency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searching for answers online, but Filipino LGBTQIA+ people still lack legal and health protections; new research by a local sexual-wellness retailer maps urgent gaps in information, services and HIV prevention that matter for everyday lives.</w:t>
      </w:r>
      <w:r/>
    </w:p>
    <w:p>
      <w:r/>
      <w:r>
        <w:t>Essential takeaways</w:t>
      </w:r>
      <w:r/>
      <w:r/>
    </w:p>
    <w:p>
      <w:pPr>
        <w:pStyle w:val="ListBullet"/>
        <w:spacing w:line="240" w:lineRule="auto"/>
        <w:ind w:left="720"/>
      </w:pPr>
      <w:r/>
      <w:r>
        <w:rPr>
          <w:b/>
        </w:rPr>
        <w:t>High curiosity, low support:</w:t>
      </w:r>
      <w:r>
        <w:t xml:space="preserve"> The Philippines ranks second globally for monthly searches for “gender identity,” showing intense private interest but weak institutional responses. </w:t>
      </w:r>
      <w:r/>
    </w:p>
    <w:p>
      <w:pPr>
        <w:pStyle w:val="ListBullet"/>
        <w:spacing w:line="240" w:lineRule="auto"/>
        <w:ind w:left="720"/>
      </w:pPr>
      <w:r/>
      <w:r>
        <w:rPr>
          <w:b/>
        </w:rPr>
        <w:t>Huge commerce gap:</w:t>
      </w:r>
      <w:r>
        <w:t xml:space="preserve"> There’s roughly a 300:1 gap between searches for queer sex topics and searches for queer sexual-wellness products, signalling unmet practical needs and market invisibility. </w:t>
      </w:r>
      <w:r/>
    </w:p>
    <w:p>
      <w:pPr>
        <w:pStyle w:val="ListBullet"/>
        <w:spacing w:line="240" w:lineRule="auto"/>
        <w:ind w:left="720"/>
      </w:pPr>
      <w:r/>
      <w:r>
        <w:rPr>
          <w:b/>
        </w:rPr>
        <w:t>Mental-health and HIV risks:</w:t>
      </w:r>
      <w:r>
        <w:t xml:space="preserve"> The search trends sit against a worsening HIV crisis (dozens of new cases daily) and reports of healthcare discrimination, heightening risk for marginalised youth. </w:t>
      </w:r>
      <w:r/>
    </w:p>
    <w:p>
      <w:pPr>
        <w:pStyle w:val="ListBullet"/>
        <w:spacing w:line="240" w:lineRule="auto"/>
        <w:ind w:left="720"/>
      </w:pPr>
      <w:r/>
      <w:r>
        <w:rPr>
          <w:b/>
        </w:rPr>
        <w:t>Local language matters:</w:t>
      </w:r>
      <w:r>
        <w:t xml:space="preserve"> Filipino and community terms like “silahis” and “tomboy” are rising, so culturally tailored services and messaging are now essential. </w:t>
      </w:r>
      <w:r/>
    </w:p>
    <w:p>
      <w:pPr>
        <w:pStyle w:val="ListBullet"/>
        <w:spacing w:line="240" w:lineRule="auto"/>
        <w:ind w:left="720"/>
      </w:pPr>
      <w:r/>
      <w:r>
        <w:rPr>
          <w:b/>
        </w:rPr>
        <w:t>Sex-ed collapse:</w:t>
      </w:r>
      <w:r>
        <w:t xml:space="preserve"> Searches for “sex education Philippines” have plunged, reflecting implementation gaps in schools and forcing young people to rely on unreliable online sources.</w:t>
      </w:r>
      <w:r/>
      <w:r/>
    </w:p>
    <w:p>
      <w:pPr>
        <w:pStyle w:val="Heading2"/>
      </w:pPr>
      <w:r>
        <w:t>Why search trends are more than trivia , they’re a health warning</w:t>
      </w:r>
      <w:r/>
    </w:p>
    <w:p>
      <w:r/>
      <w:r>
        <w:t>It feels quietly alarming when search data starts shouting. Retailer Pink Bunny Philippines analysed 15 months of Google and internal sales data and found Filipinos are privately asking big, specific questions about identity and sex the system isn’t answering. The phrases people type , sometimes softly, sometimes urgently , are a proxy for unmet needs, and here the numbers add up to a public‑health flag.</w:t>
      </w:r>
      <w:r/>
    </w:p>
    <w:p>
      <w:r/>
      <w:r>
        <w:t>The report, compiled by the company’s in‑house sexual health adviser and led by the CEO, links steady interest in identity queries with an institutional dry spell: stalled anti-discrimination legislation, patchy sex education and reports of clinical bias. That combination makes curiosity risky, not just academic.</w:t>
      </w:r>
      <w:r/>
    </w:p>
    <w:p>
      <w:pPr>
        <w:pStyle w:val="Heading2"/>
      </w:pPr>
      <w:r>
        <w:t>The 300:1 commerce gap , why product searches matter for safety</w:t>
      </w:r>
      <w:r/>
    </w:p>
    <w:p>
      <w:r/>
      <w:r>
        <w:t>Searches for queer-sex topics peaked at around 184,000 a month, while searches for queer-focused sexual‑wellness products are virtually absent. That’s a gulf of roughly 300 to 1, and it isn’t just about retail opportunity , it’s about access to safer options.</w:t>
      </w:r>
      <w:r/>
    </w:p>
    <w:p>
      <w:r/>
      <w:r>
        <w:t>When people can’t find culturally appropriate, reliable products or information, they improvise. That increases risk of harm or infection. So retailers who double as educators, and clinics that stock inclusive supplies, become a practical stopgap while policy catches up.</w:t>
      </w:r>
      <w:r/>
    </w:p>
    <w:p>
      <w:pPr>
        <w:pStyle w:val="Heading2"/>
      </w:pPr>
      <w:r>
        <w:t>Identity searches surge even as Pride queries dip</w:t>
      </w:r>
      <w:r/>
    </w:p>
    <w:p>
      <w:r/>
      <w:r>
        <w:t>Event-based interest in Pride appears to be cooling, yet deeper searches for gender identity and intersex remain high. In plain terms, curiosity has matured from festival‑level curiosity to continuous, personal exploration.</w:t>
      </w:r>
      <w:r/>
    </w:p>
    <w:p>
      <w:r/>
      <w:r>
        <w:t>This shift matters to advocates and clinicians: throwaway campaigns won’t meet these needs. Healthcare settings need to be ready year‑round with non‑judgemental, accurate guidance tailored to local terms and experiences.</w:t>
      </w:r>
      <w:r/>
    </w:p>
    <w:p>
      <w:pPr>
        <w:pStyle w:val="Heading2"/>
      </w:pPr>
      <w:r>
        <w:t>Language is local , and that changes how services should speak</w:t>
      </w:r>
      <w:r/>
    </w:p>
    <w:p>
      <w:r/>
      <w:r>
        <w:t>Search behaviour is moving away from only Western LGBT terminology toward locally meaningful words. Terms like “silahis” (used by some bisexual communities) and “tomboy” are on the rise, pointing to a preference for language people actually use in their communities.</w:t>
      </w:r>
      <w:r/>
    </w:p>
    <w:p>
      <w:r/>
      <w:r>
        <w:t>Healthcare providers and educators who keep using only imported terms risk alienating the very people they want to reach. Translation isn’t enough , services should be co‑designed with communities and tested for cultural fit.</w:t>
      </w:r>
      <w:r/>
    </w:p>
    <w:p>
      <w:pPr>
        <w:pStyle w:val="Heading2"/>
      </w:pPr>
      <w:r>
        <w:t>Education failure meets an HIV surge , a dangerous mix</w:t>
      </w:r>
      <w:r/>
    </w:p>
    <w:p>
      <w:r/>
      <w:r>
        <w:t>Searches for “sex education Philippines” collapsed dramatically, a trend that echoes Department of Education admissions of patchy curriculum roll‑out. At the same time the country is seeing a steep rise in HIV transmissions, underscoring how a lack of reliable, age‑appropriate information can have real consequences.</w:t>
      </w:r>
      <w:r/>
    </w:p>
    <w:p>
      <w:r/>
      <w:r>
        <w:t>Simple, practical interventions would help: fully implemented, inclusive sex education; clinics trained and visibly welcoming; online resources vetted by community groups. Those are the everyday safeguards that reduce harm today, while laws are debated.</w:t>
      </w:r>
      <w:r/>
    </w:p>
    <w:p>
      <w:pPr>
        <w:pStyle w:val="Heading2"/>
      </w:pPr>
      <w:r>
        <w:t>What people are actually doing , retail as refuge</w:t>
      </w:r>
      <w:r/>
    </w:p>
    <w:p>
      <w:r/>
      <w:r>
        <w:t>Pink Bunny’s internal sales logs show people bypassing stigma to seek products online , over 2,000 searches for strap-on items alone , and customers often use retail channels to ask health and usage questions. In that sense, independent retailers are doubling as de facto information hubs.</w:t>
      </w:r>
      <w:r/>
    </w:p>
    <w:p>
      <w:r/>
      <w:r>
        <w:t>That isn’t ideal, but it’s real. Policymakers and health departments could learn from these trusted touchpoints and partner with them rather than ignore the data they reveal.</w:t>
      </w:r>
      <w:r/>
    </w:p>
    <w:p>
      <w:pPr>
        <w:pStyle w:val="Heading2"/>
      </w:pPr>
      <w:r>
        <w:t>How to use this data , practical steps for readers and services</w:t>
      </w:r>
      <w:r/>
    </w:p>
    <w:p>
      <w:r/>
      <w:r>
        <w:t>If you’re an individual: seek out community‑run resources, look for clinics advertising explicit non‑discrimination policies, and consider products that come with clear safety guidance. If you work in health or education: audit your language, partner with community advocates, and make information searchable in Filipino terms people actually use.</w:t>
      </w:r>
      <w:r/>
    </w:p>
    <w:p>
      <w:r/>
      <w:r>
        <w:t>And if you’re shopping: support businesses that offer clear, sex‑positive guidance alongside products, because they often double as vital education channels.</w:t>
      </w:r>
      <w:r/>
    </w:p>
    <w:p>
      <w:r/>
      <w:r>
        <w:t>It’s a small change that can make every search , and every life ,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1">
        <w:r>
          <w:rPr>
            <w:color w:val="0000EE"/>
            <w:u w:val="single"/>
          </w:rPr>
          <w:t>[3]</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1">
        <w:r>
          <w:rPr>
            <w:color w:val="0000EE"/>
            <w:u w:val="single"/>
          </w:rPr>
          <w:t>[3]</w:t>
        </w:r>
      </w:hyperlink>
      <w:r>
        <w:t xml:space="preserve">, </w:t>
      </w:r>
      <w:hyperlink r:id="rId10">
        <w:r>
          <w:rPr>
            <w:color w:val="0000EE"/>
            <w:u w:val="single"/>
          </w:rPr>
          <w:t>[5]</w:t>
        </w:r>
      </w:hyperlink>
      <w:r>
        <w:t xml:space="preserve">- Paragraph 6: </w:t>
      </w:r>
      <w:hyperlink r:id="rId11">
        <w:r>
          <w:rPr>
            <w:color w:val="0000EE"/>
            <w:u w:val="single"/>
          </w:rPr>
          <w:t>[4]</w:t>
        </w:r>
      </w:hyperlink>
      <w:r>
        <w:t xml:space="preserve">, </w:t>
      </w:r>
      <w:hyperlink r:id="rId10">
        <w:r>
          <w:rPr>
            <w:color w:val="0000EE"/>
            <w:u w:val="single"/>
          </w:rPr>
          <w:t>[6]</w:t>
        </w:r>
      </w:hyperlink>
      <w:r>
        <w:t xml:space="preserve">- Paragraph 7: </w:t>
      </w:r>
      <w:hyperlink r:id="rId10">
        <w:r>
          <w:rPr>
            <w:color w:val="0000EE"/>
            <w:u w:val="single"/>
          </w:rPr>
          <w:t>[5]</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https://outragemag.com/ph-ranks-second-globally-in-monthly-searches-for-gender-identity-but-still-no-protective-law-worsening-hiv-epidemic/</w:t>
        </w:r>
      </w:hyperlink>
      <w:r>
        <w:t xml:space="preserve"> - Please view link - unable to able to access data</w:t>
      </w:r>
      <w:r/>
    </w:p>
    <w:p>
      <w:pPr>
        <w:pStyle w:val="ListNumber"/>
        <w:spacing w:line="240" w:lineRule="auto"/>
        <w:ind w:left="720"/>
      </w:pPr>
      <w:r/>
      <w:hyperlink r:id="rId10">
        <w:r>
          <w:rPr>
            <w:color w:val="0000EE"/>
            <w:u w:val="single"/>
          </w:rPr>
          <w:t>https://journals.sagepub.com/doi/abs/10.1177/27551938261431282</w:t>
        </w:r>
      </w:hyperlink>
      <w:r>
        <w:t xml:space="preserve"> - A 2026 study titled 'Hidden Rainbows: Health Needs, Policy Challenges, and Socio-Ecological Factors Affecting the LGBTQIA+ Community in Primary Care in Manila, Philippines' examines the primary care needs of LGBTQIA+ individuals in Manila. The research identifies unmet needs in mental health, sexual and reproductive health, HIV/STI care, and gender-affirming care. It highlights barriers such as discrimination and policy challenges affecting access to appropriate healthcare services for the LGBTQIA+ community in the region.</w:t>
      </w:r>
      <w:r/>
    </w:p>
    <w:p>
      <w:pPr>
        <w:pStyle w:val="ListNumber"/>
        <w:spacing w:line="240" w:lineRule="auto"/>
        <w:ind w:left="720"/>
      </w:pPr>
      <w:r/>
      <w:hyperlink r:id="rId11">
        <w:r>
          <w:rPr>
            <w:color w:val="0000EE"/>
            <w:u w:val="single"/>
          </w:rPr>
          <w:t>https://journals.sagepub.com/doi/10.1177/01939459241288827</w:t>
        </w:r>
      </w:hyperlink>
      <w:r>
        <w:t xml:space="preserve"> - A 2024 qualitative study titled 'Experiences of Sexual and Gender Minorities with Health Care in the Philippines' explores the healthcare experiences of sexual and gender minorities (SGMs) in the Philippines. The research reveals limited availability and accessibility of healthcare facilities tailored to the specific needs of SGMs. It underscores the necessity for healthcare services that are inclusive and responsive to the unique health requirements of sexual and gender minorities in the country.</w:t>
      </w:r>
      <w:r/>
    </w:p>
    <w:p>
      <w:pPr>
        <w:pStyle w:val="ListNumber"/>
        <w:spacing w:line="240" w:lineRule="auto"/>
        <w:ind w:left="720"/>
      </w:pPr>
      <w:r/>
      <w:hyperlink r:id="rId11">
        <w:r>
          <w:rPr>
            <w:color w:val="0000EE"/>
            <w:u w:val="single"/>
          </w:rPr>
          <w:t>https://journals.sagepub.com/doi/10.1177/01939459241288827</w:t>
        </w:r>
      </w:hyperlink>
      <w:r>
        <w:t xml:space="preserve"> - A 2024 qualitative study titled 'Experiences of Sexual and Gender Minorities with Health Care in the Philippines' explores the healthcare experiences of sexual and gender minorities (SGMs) in the Philippines. The research reveals limited availability and accessibility of healthcare facilities tailored to the specific needs of SGMs. It underscores the necessity for healthcare services that are inclusive and responsive to the unique health requirements of sexual and gender minorities in the country.</w:t>
      </w:r>
      <w:r/>
    </w:p>
    <w:p>
      <w:pPr>
        <w:pStyle w:val="ListNumber"/>
        <w:spacing w:line="240" w:lineRule="auto"/>
        <w:ind w:left="720"/>
      </w:pPr>
      <w:r/>
      <w:hyperlink r:id="rId10">
        <w:r>
          <w:rPr>
            <w:color w:val="0000EE"/>
            <w:u w:val="single"/>
          </w:rPr>
          <w:t>https://journals.sagepub.com/doi/abs/10.1177/27551938261431282</w:t>
        </w:r>
      </w:hyperlink>
      <w:r>
        <w:t xml:space="preserve"> - A 2026 study titled 'Hidden Rainbows: Health Needs, Policy Challenges, and Socio-Ecological Factors Affecting the LGBTQIA+ Community in Primary Care in Manila, Philippines' examines the primary care needs of LGBTQIA+ individuals in Manila. The research identifies unmet needs in mental health, sexual and reproductive health, HIV/STI care, and gender-affirming care. It highlights barriers such as discrimination and policy challenges affecting access to appropriate healthcare services for the LGBTQIA+ community in the region.</w:t>
      </w:r>
      <w:r/>
    </w:p>
    <w:p>
      <w:pPr>
        <w:pStyle w:val="ListNumber"/>
        <w:spacing w:line="240" w:lineRule="auto"/>
        <w:ind w:left="720"/>
      </w:pPr>
      <w:r/>
      <w:hyperlink r:id="rId10">
        <w:r>
          <w:rPr>
            <w:color w:val="0000EE"/>
            <w:u w:val="single"/>
          </w:rPr>
          <w:t>https://journals.sagepub.com/doi/abs/10.1177/27551938261431282</w:t>
        </w:r>
      </w:hyperlink>
      <w:r>
        <w:t xml:space="preserve"> - A 2026 study titled 'Hidden Rainbows: Health Needs, Policy Challenges, and Socio-Ecological Factors Affecting the LGBTQIA+ Community in Primary Care in Manila, Philippines' examines the primary care needs of LGBTQIA+ individuals in Manila. The research identifies unmet needs in mental health, sexual and reproductive health, HIV/STI care, and gender-affirming care. It highlights barriers such as discrimination and policy challenges affecting access to appropriate healthcare services for the LGBTQIA+ community in the region.</w:t>
      </w:r>
      <w:r/>
    </w:p>
    <w:p>
      <w:pPr>
        <w:pStyle w:val="ListNumber"/>
        <w:spacing w:line="240" w:lineRule="auto"/>
        <w:ind w:left="720"/>
      </w:pPr>
      <w:r/>
      <w:hyperlink r:id="rId10">
        <w:r>
          <w:rPr>
            <w:color w:val="0000EE"/>
            <w:u w:val="single"/>
          </w:rPr>
          <w:t>https://journals.sagepub.com/doi/abs/10.1177/27551938261431282</w:t>
        </w:r>
      </w:hyperlink>
      <w:r>
        <w:t xml:space="preserve"> - A 2026 study titled 'Hidden Rainbows: Health Needs, Policy Challenges, and Socio-Ecological Factors Affecting the LGBTQIA+ Community in Primary Care in Manila, Philippines' examines the primary care needs of LGBTQIA+ individuals in Manila. The research identifies unmet needs in mental health, sexual and reproductive health, HIV/STI care, and gender-affirming care. It highlights barriers such as discrimination and policy challenges affecting access to appropriate healthcare services for the LGBTQIA+ community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ragemag.com/ph-ranks-second-globally-in-monthly-searches-for-gender-identity-but-still-no-protective-law-worsening-hiv-epidemic/" TargetMode="External"/><Relationship Id="rId10" Type="http://schemas.openxmlformats.org/officeDocument/2006/relationships/hyperlink" Target="https://journals.sagepub.com/doi/abs/10.1177/27551938261431282" TargetMode="External"/><Relationship Id="rId11" Type="http://schemas.openxmlformats.org/officeDocument/2006/relationships/hyperlink" Target="https://journals.sagepub.com/doi/10.1177/019394592412888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