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How the EU’s New Migration Pact Affects LGBTQ+ Refugees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safe passage, read this: queer refugees and asylum supporters across Europe are bracing for a harder, faster and less forgiving system. The EU’s new Pact on Migration and Asylum, rolled out in June 2026, speeds decisions, clamps down on border admission and leans on “safe third country” lists , and that matters badly for LGBTQ+ people fleeing persecution.</w:t>
      </w:r>
      <w:r/>
    </w:p>
    <w:p>
      <w:r/>
      <w:r>
        <w:t>Essential Takeaways</w:t>
      </w:r>
      <w:r/>
      <w:r/>
    </w:p>
    <w:p>
      <w:pPr>
        <w:pStyle w:val="ListBullet"/>
        <w:spacing w:line="240" w:lineRule="auto"/>
        <w:ind w:left="720"/>
      </w:pPr>
      <w:r/>
      <w:r>
        <w:rPr>
          <w:b/>
        </w:rPr>
        <w:t>Faster decisions, tougher stakes:</w:t>
      </w:r>
      <w:r>
        <w:t xml:space="preserve"> The pact prioritises accelerated border and airport procedures, which can mean quicker rejections with less time to prepare evidence.</w:t>
      </w:r>
      <w:r/>
    </w:p>
    <w:p>
      <w:pPr>
        <w:pStyle w:val="ListBullet"/>
        <w:spacing w:line="240" w:lineRule="auto"/>
        <w:ind w:left="720"/>
      </w:pPr>
      <w:r/>
      <w:r>
        <w:rPr>
          <w:b/>
        </w:rPr>
        <w:t>Safe third countries expand denials:</w:t>
      </w:r>
      <w:r>
        <w:t xml:space="preserve"> New rules let member states redirect applicants through countries deemed “safe,” a risk if those transit states criminalise or stigmatise LGBTQ+ people.</w:t>
      </w:r>
      <w:r/>
    </w:p>
    <w:p>
      <w:pPr>
        <w:pStyle w:val="ListBullet"/>
        <w:spacing w:line="240" w:lineRule="auto"/>
        <w:ind w:left="720"/>
      </w:pPr>
      <w:r/>
      <w:r>
        <w:rPr>
          <w:b/>
        </w:rPr>
        <w:t>Russia still assessed individually, but risk rises:</w:t>
      </w:r>
      <w:r>
        <w:t xml:space="preserve"> Russia isn’t on the EU’s safe-origin list, yet applicants from there face accelerated processes when recognition rates are low.</w:t>
      </w:r>
      <w:r/>
    </w:p>
    <w:p>
      <w:pPr>
        <w:pStyle w:val="ListBullet"/>
        <w:spacing w:line="240" w:lineRule="auto"/>
        <w:ind w:left="720"/>
      </w:pPr>
      <w:r/>
      <w:r>
        <w:rPr>
          <w:b/>
        </w:rPr>
        <w:t>Quality of evidence is now crucial:</w:t>
      </w:r>
      <w:r>
        <w:t xml:space="preserve"> Legal representation, documented persecution and a clear explanation of why a transit country is unsafe can make or break a claim.</w:t>
      </w:r>
      <w:r/>
    </w:p>
    <w:p>
      <w:pPr>
        <w:pStyle w:val="ListBullet"/>
        <w:spacing w:line="240" w:lineRule="auto"/>
        <w:ind w:left="720"/>
      </w:pPr>
      <w:r/>
      <w:r>
        <w:rPr>
          <w:b/>
        </w:rPr>
        <w:t>Practical pressure on helpers:</w:t>
      </w:r>
      <w:r>
        <w:t xml:space="preserve"> NGOs and lawyers will need to act faster and gather airtight testimony under tighter time limits.</w:t>
      </w:r>
      <w:r/>
      <w:r/>
    </w:p>
    <w:p>
      <w:pPr>
        <w:pStyle w:val="Heading2"/>
      </w:pPr>
      <w:r>
        <w:t>What the pact actually does , and why it feels colder at the borders</w:t>
      </w:r>
      <w:r/>
    </w:p>
    <w:p>
      <w:r/>
      <w:r>
        <w:t>The most immediate change is procedural: applications can be handled at external borders and airports before people step into EU territory, with faster rejections and returns. That means decisions are often made in noisy, chaotic places , think transit halls and fenced-off reception zones , where it’s harder to tell a complex, sensitive life story. According to Eurostat and EU reporting, fewer applications overall were seen even before the pact, and the new rules stack the deck toward speed rather than depth.</w:t>
      </w:r>
      <w:r/>
    </w:p>
    <w:p>
      <w:r/>
      <w:r>
        <w:t>Human-rights defenders worry because faster processing tends to favour simple cases and penalise nuanced ones, like persecution on the basis of sexual orientation or gender identity. The emotional toll is obvious: imagine telling a traumatising story under time pressure with little privacy. Helpers say the quality of legal aid and evidence will matter far more.</w:t>
      </w:r>
      <w:r/>
    </w:p>
    <w:p>
      <w:pPr>
        <w:pStyle w:val="Heading2"/>
      </w:pPr>
      <w:r>
        <w:t>Safe third countries: a bureaucratic shortcut with human costs</w:t>
      </w:r>
      <w:r/>
    </w:p>
    <w:p>
      <w:r/>
      <w:r>
        <w:t>A central innovation in the pact is the concept of “safe third countries” , states an applicant passed through where they could supposedly have sought protection. Member states already approved a long list of countries, and the pact opens the door to bilateral additions. That sounds efficient, but for LGBTQ+ people it’s perilous: several transit states criminalise same-sex relations or have repressive laws on “LGBT propaganda,” and repression intensifies in parts of the region.</w:t>
      </w:r>
      <w:r/>
    </w:p>
    <w:p>
      <w:r/>
      <w:r>
        <w:t>Legal workers who help queer people fleeing the North Caucasus and Russia warn that if a Russian national transited a country now deemed “safe,” they may be fast-tracked into an accelerated review and even returned, regardless of the reality on the ground. Practical tip: document any mistreatment or the absence of effective protection in transit countries the moment you can.</w:t>
      </w:r>
      <w:r/>
    </w:p>
    <w:p>
      <w:pPr>
        <w:pStyle w:val="Heading2"/>
      </w:pPr>
      <w:r>
        <w:t>Why Russians still get individual assessments , but not necessarily a fairer shot</w:t>
      </w:r>
      <w:r/>
    </w:p>
    <w:p>
      <w:r/>
      <w:r>
        <w:t>Because Russia is not formally on the EU’s safe-origin list, Russian applicants are meant to receive individual asylum assessments. That legal baseline still recognises persecution for sexual orientation and gender identity. But Stephen Phillips, a human-rights researcher, points out that because Russia’s recognition rate sits low in EU-wide data, applications from Russia can be subjected to accelerated procedures , meaning less time to prepare and a greater chance of rushed decisions.</w:t>
      </w:r>
      <w:r/>
    </w:p>
    <w:p>
      <w:r/>
      <w:r>
        <w:t>So the law hasn’t changed the reasons someone can be granted asylum; it has changed the conditions under which those reasons get heard. In short: the door remains open, but the corridor has narrowed and lights flicker.</w:t>
      </w:r>
      <w:r/>
    </w:p>
    <w:p>
      <w:pPr>
        <w:pStyle w:val="Heading2"/>
      </w:pPr>
      <w:r>
        <w:t>The regional reality: transit countries aren’t uniformly safe</w:t>
      </w:r>
      <w:r/>
    </w:p>
    <w:p>
      <w:r/>
      <w:r>
        <w:t>Not all “safe” labels match reality for queer people. Several states that could feature on member-state lists have introduced new restrictions: Kazakhstan moved to anti-LGBTQ+ propaganda rules in 2025, Uzbekistan continues to criminalise male same-sex conduct, and Georgia and Armenia have seen laws and social pressures that limit expression and access to gender-affirming care. Local NGOs and journalists have documented increasing harassment, doxxing and institutional hostility in parts of the region.</w:t>
      </w:r>
      <w:r/>
    </w:p>
    <w:p>
      <w:r/>
      <w:r>
        <w:t>That patchwork of laws means legal advisers must show, case by case, why a transit country was not a viable place to claim asylum. Practically, applicants should collect evidence of family threats, police hostility, lack of medical care, or public orders that criminalise queer expression , anything that shows a transit country was not “safe” for them.</w:t>
      </w:r>
      <w:r/>
    </w:p>
    <w:p>
      <w:pPr>
        <w:pStyle w:val="Heading2"/>
      </w:pPr>
      <w:r>
        <w:t>What asylum seekers and supporters should do now</w:t>
      </w:r>
      <w:r/>
    </w:p>
    <w:p>
      <w:r/>
      <w:r>
        <w:t>If you’re helping someone claim asylum, act fast but carefully. Get legal representation immediately, assemble documentary proof of persecution, and provide clear, credible explanations of why any country they passed through would not protect them. NGOs should prepare to offer rapid-response documentation, mental-health support and private spaces to give testimony.</w:t>
      </w:r>
      <w:r/>
    </w:p>
    <w:p>
      <w:r/>
      <w:r>
        <w:t>For policymakers and citizens, the pact’s human cost is a choice. Faster processing may ease administrative strain, but it shifts the burden onto people whose lives are complicated and fragile. The sensible middle ground is better-funded legal aid, protected spaces for testimony at borders, and strict oversight of any returns to “safe” countries.</w:t>
      </w:r>
      <w:r/>
    </w:p>
    <w:p>
      <w:r/>
      <w:r>
        <w:t>It's a small change in procedure with large consequences , check who you trust and keep records close.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1">
        <w:r>
          <w:rPr>
            <w:color w:val="0000EE"/>
            <w:u w:val="single"/>
          </w:rPr>
          <w:t>[6]</w:t>
        </w:r>
      </w:hyperlink>
      <w:r>
        <w:t xml:space="preserve">- Paragraph 3: </w:t>
      </w:r>
      <w:hyperlink r:id="rId9">
        <w:r>
          <w:rPr>
            <w:color w:val="0000EE"/>
            <w:u w:val="single"/>
          </w:rPr>
          <w:t>[1]</w:t>
        </w:r>
      </w:hyperlink>
      <w:r>
        <w:t xml:space="preserve">, </w:t>
      </w:r>
      <w:hyperlink r:id="rId12">
        <w:r>
          <w:rPr>
            <w:color w:val="0000EE"/>
            <w:u w:val="single"/>
          </w:rPr>
          <w:t>[3]</w:t>
        </w:r>
      </w:hyperlink>
      <w:r>
        <w:t xml:space="preserve">- Paragraph 4: </w:t>
      </w:r>
      <w:hyperlink r:id="rId9">
        <w:r>
          <w:rPr>
            <w:color w:val="0000EE"/>
            <w:u w:val="single"/>
          </w:rPr>
          <w:t>[1]</w:t>
        </w:r>
      </w:hyperlink>
      <w:r>
        <w:t xml:space="preserve">, </w:t>
      </w:r>
      <w:hyperlink r:id="rId13">
        <w:r>
          <w:rPr>
            <w:color w:val="0000EE"/>
            <w:u w:val="single"/>
          </w:rPr>
          <w:t>[7]</w:t>
        </w:r>
      </w:hyperlink>
      <w:r>
        <w:t xml:space="preserve">- Paragraph 5: </w:t>
      </w:r>
      <w:hyperlink r:id="rId9">
        <w:r>
          <w:rPr>
            <w:color w:val="0000EE"/>
            <w:u w:val="single"/>
          </w:rPr>
          <w:t>[1]</w:t>
        </w:r>
      </w:hyperlink>
      <w:r>
        <w:t xml:space="preserve">, </w:t>
      </w:r>
      <w:hyperlink r:id="rId14">
        <w:r>
          <w:rPr>
            <w:color w:val="0000EE"/>
            <w:u w:val="single"/>
          </w:rPr>
          <w:t>[4]</w:t>
        </w:r>
      </w:hyperlink>
      <w:r>
        <w:t xml:space="preserve">- Paragraph 6: </w:t>
      </w:r>
      <w:hyperlink r:id="rId9">
        <w:r>
          <w:rPr>
            <w:color w:val="0000EE"/>
            <w:u w:val="single"/>
          </w:rPr>
          <w:t>[1]</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https://globalvoices.org/2026/06/28/fortress-europe-the-new-pact-on-migration-and-asylum-will-further-deteriorate-chances-for-lgbtq-refugees/</w:t>
        </w:r>
      </w:hyperlink>
      <w:r>
        <w:t xml:space="preserve"> - Please view link - unable to able to access data</w:t>
      </w:r>
      <w:r/>
    </w:p>
    <w:p>
      <w:pPr>
        <w:pStyle w:val="ListNumber"/>
        <w:spacing w:line="240" w:lineRule="auto"/>
        <w:ind w:left="720"/>
      </w:pPr>
      <w:r/>
      <w:hyperlink r:id="rId10">
        <w:r>
          <w:rPr>
            <w:color w:val="0000EE"/>
            <w:u w:val="single"/>
          </w:rPr>
          <w:t>https://www.euaa.europa.eu/news-events/eu-asylum-applications-decrease-11-percent-in-2024</w:t>
        </w:r>
      </w:hyperlink>
      <w:r>
        <w:t xml:space="preserve"> - In 2024, the European Union Agency for Asylum (EUAA) reported an 11% decrease in asylum applications across the EU+. This decline was notably significant among applicants from Syria, Afghanistan, and Turkey. Germany continued to receive the highest number of applications, though these were down by one-third compared to the previous year. The report highlights changing trends in asylum-seeking patterns and underscores the evolving dynamics of migration within the EU+ region.</w:t>
      </w:r>
      <w:r/>
    </w:p>
    <w:p>
      <w:pPr>
        <w:pStyle w:val="ListNumber"/>
        <w:spacing w:line="240" w:lineRule="auto"/>
        <w:ind w:left="720"/>
      </w:pPr>
      <w:r/>
      <w:hyperlink r:id="rId12">
        <w:r>
          <w:rPr>
            <w:color w:val="0000EE"/>
            <w:u w:val="single"/>
          </w:rPr>
          <w:t>https://www.after-russia.org/en/explained/transphobic-laws-in-russia</w:t>
        </w:r>
      </w:hyperlink>
      <w:r>
        <w:t xml:space="preserve"> - In July 2023, Russia enacted legislation prohibiting transgender medical interventions, including gender-affirming treatments and surgeries. This law effectively restricts transgender individuals from accessing necessary medical care, marking a significant step in the country's increasing repression of LGBTQ+ rights. The legislation has been met with criticism from human rights organizations, which warn of the potential psychological and social consequences for the transgender community in Russia.</w:t>
      </w:r>
      <w:r/>
    </w:p>
    <w:p>
      <w:pPr>
        <w:pStyle w:val="ListNumber"/>
        <w:spacing w:line="240" w:lineRule="auto"/>
        <w:ind w:left="720"/>
      </w:pPr>
      <w:r/>
      <w:hyperlink r:id="rId14">
        <w:r>
          <w:rPr>
            <w:color w:val="0000EE"/>
            <w:u w:val="single"/>
          </w:rPr>
          <w:t>https://www.axios.com/2023/11/30/lgbtq-activism-russia-supreme-court</w:t>
        </w:r>
      </w:hyperlink>
      <w:r>
        <w:t xml:space="preserve"> - On November 30, 2023, Russia's Supreme Court declared the international LGBTQ rights movement 'extremist,' effectively banning LGBTQ activism within the country. This ruling has severe implications, as involvement with 'extremist organizations' is a criminal offense in Russia, potentially leading to prosecution. The decision has been condemned by international human rights bodies, highlighting the escalating challenges faced by LGBTQ+ individuals and activists in Russia.</w:t>
      </w:r>
      <w:r/>
    </w:p>
    <w:p>
      <w:pPr>
        <w:pStyle w:val="ListNumber"/>
        <w:spacing w:line="240" w:lineRule="auto"/>
        <w:ind w:left="720"/>
      </w:pPr>
      <w:r/>
      <w:hyperlink r:id="rId15">
        <w:r>
          <w:rPr>
            <w:color w:val="0000EE"/>
            <w:u w:val="single"/>
          </w:rPr>
          <w:t>https://www.axios.com/2022/12/05/putin-lgbt-propaganda-law-russia</w:t>
        </w:r>
      </w:hyperlink>
      <w:r>
        <w:t xml:space="preserve"> - In December 2022, Russian President Vladimir Putin signed a law expanding the ban on 'LGBT propaganda.' The legislation prohibits the dissemination of LGBTQ-related content across social networks, mass media, films, and advertisements. It also bans information about gender transitions and content deemed to promote pedophilia. This move represents a significant escalation in the Russian government's crackdown on LGBTQ+ rights and has raised concerns among human rights advocates regarding freedom of expression and the treatment of LGBTQ+ individuals in the country.</w:t>
      </w:r>
      <w:r/>
    </w:p>
    <w:p>
      <w:pPr>
        <w:pStyle w:val="ListNumber"/>
        <w:spacing w:line="240" w:lineRule="auto"/>
        <w:ind w:left="720"/>
      </w:pPr>
      <w:r/>
      <w:hyperlink r:id="rId11">
        <w:r>
          <w:rPr>
            <w:color w:val="0000EE"/>
            <w:u w:val="single"/>
          </w:rPr>
          <w:t>https://www.eurostat.europa.eu/web/products-eurostat-news/w/ddn-20250425-1</w:t>
        </w:r>
      </w:hyperlink>
      <w:r>
        <w:t xml:space="preserve"> - In 2024, EU countries granted protection status to 437,900 asylum seekers, marking a 7% increase compared to 2023. Among these, 42% received refugee status, 39% were granted subsidiary protection, and 19% obtained humanitarian status. Germany, France, and Spain were the top three countries granting protection status, collectively accounting for 61% of the total in the EU. This data underscores the evolving landscape of asylum decisions within the European Union.</w:t>
      </w:r>
      <w:r/>
    </w:p>
    <w:p>
      <w:pPr>
        <w:pStyle w:val="ListNumber"/>
        <w:spacing w:line="240" w:lineRule="auto"/>
        <w:ind w:left="720"/>
      </w:pPr>
      <w:r/>
      <w:hyperlink r:id="rId13">
        <w:r>
          <w:rPr>
            <w:color w:val="0000EE"/>
            <w:u w:val="single"/>
          </w:rPr>
          <w:t>https://www.eurostat.europa.eu/web/products-eurostat-news/w/ddn-20250320-1</w:t>
        </w:r>
      </w:hyperlink>
      <w:r>
        <w:t xml:space="preserve"> - In 2024, EU countries received 912,000 first-time asylum applications, a 13% decrease compared to 2023. Syrians remained the largest group of applicants, followed by Venezuelans and Afghans. This decline reflects changing migration patterns and may indicate shifts in global conflict zones and their impact on asylum-seeking trends within the European Union.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lobalvoices.org/2026/06/28/fortress-europe-the-new-pact-on-migration-and-asylum-will-further-deteriorate-chances-for-lgbtq-refugees/" TargetMode="External"/><Relationship Id="rId10" Type="http://schemas.openxmlformats.org/officeDocument/2006/relationships/hyperlink" Target="https://www.euaa.europa.eu/news-events/eu-asylum-applications-decrease-11-percent-in-2024" TargetMode="External"/><Relationship Id="rId11" Type="http://schemas.openxmlformats.org/officeDocument/2006/relationships/hyperlink" Target="https://www.eurostat.europa.eu/web/products-eurostat-news/w/ddn-20250425-1" TargetMode="External"/><Relationship Id="rId12" Type="http://schemas.openxmlformats.org/officeDocument/2006/relationships/hyperlink" Target="https://www.after-russia.org/en/explained/transphobic-laws-in-russia" TargetMode="External"/><Relationship Id="rId13" Type="http://schemas.openxmlformats.org/officeDocument/2006/relationships/hyperlink" Target="https://www.eurostat.europa.eu/web/products-eurostat-news/w/ddn-20250320-1" TargetMode="External"/><Relationship Id="rId14" Type="http://schemas.openxmlformats.org/officeDocument/2006/relationships/hyperlink" Target="https://www.axios.com/2023/11/30/lgbtq-activism-russia-supreme-court" TargetMode="External"/><Relationship Id="rId15" Type="http://schemas.openxmlformats.org/officeDocument/2006/relationships/hyperlink" Target="https://www.axios.com/2022/12/05/putin-lgbt-propaganda-law-russ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