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Healthcare Can Make LGBTQ+ Patients Feel Truly Safe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small gestures matter: clinicians in the UK and beyond are rethinking simple steps that turn symbolic allyship into real care, because patients notice everything and safety starts in the first five seconds.</w:t>
      </w:r>
      <w:r/>
    </w:p>
    <w:p>
      <w:r/>
      <w:r>
        <w:t>Essential Takeaways</w:t>
      </w:r>
      <w:r/>
      <w:r/>
    </w:p>
    <w:p>
      <w:pPr>
        <w:pStyle w:val="ListBullet"/>
        <w:spacing w:line="240" w:lineRule="auto"/>
        <w:ind w:left="720"/>
      </w:pPr>
      <w:r/>
      <w:r>
        <w:rPr>
          <w:b/>
        </w:rPr>
        <w:t>First impressions count:</w:t>
      </w:r>
      <w:r>
        <w:t xml:space="preserve"> A brief, inclusive greeting and asking "What name would you like me to use?" instantly lowers anxiety.</w:t>
      </w:r>
      <w:r/>
    </w:p>
    <w:p>
      <w:pPr>
        <w:pStyle w:val="ListBullet"/>
        <w:spacing w:line="240" w:lineRule="auto"/>
        <w:ind w:left="720"/>
      </w:pPr>
      <w:r/>
      <w:r>
        <w:rPr>
          <w:b/>
        </w:rPr>
        <w:t>Pronoun handling:</w:t>
      </w:r>
      <w:r>
        <w:t xml:space="preserve"> If you slip, correct yourself quickly, apologise briefly and continue , patients prefer being centred over an explanation.</w:t>
      </w:r>
      <w:r/>
    </w:p>
    <w:p>
      <w:pPr>
        <w:pStyle w:val="ListBullet"/>
        <w:spacing w:line="240" w:lineRule="auto"/>
        <w:ind w:left="720"/>
      </w:pPr>
      <w:r/>
      <w:r>
        <w:rPr>
          <w:b/>
        </w:rPr>
        <w:t>Useful records:</w:t>
      </w:r>
      <w:r>
        <w:t xml:space="preserve"> Reading and using charted gender, name and relationship info shows respect and reduces repeated outing.</w:t>
      </w:r>
      <w:r/>
    </w:p>
    <w:p>
      <w:pPr>
        <w:pStyle w:val="ListBullet"/>
        <w:spacing w:line="240" w:lineRule="auto"/>
        <w:ind w:left="720"/>
      </w:pPr>
      <w:r/>
      <w:r>
        <w:rPr>
          <w:b/>
        </w:rPr>
        <w:t>Ask precise questions:</w:t>
      </w:r>
      <w:r>
        <w:t xml:space="preserve"> Phrase sexual and relationship history clearly to avoid forcing patients to guess what you mean.</w:t>
      </w:r>
      <w:r/>
    </w:p>
    <w:p>
      <w:pPr>
        <w:pStyle w:val="ListBullet"/>
        <w:spacing w:line="240" w:lineRule="auto"/>
        <w:ind w:left="720"/>
      </w:pPr>
      <w:r/>
      <w:r>
        <w:rPr>
          <w:b/>
        </w:rPr>
        <w:t>Allyship in practice:</w:t>
      </w:r>
      <w:r>
        <w:t xml:space="preserve"> Visible symbols help, but consistent behaviours , listening, documentation and consent checks , build trust.</w:t>
      </w:r>
      <w:r/>
      <w:r/>
    </w:p>
    <w:p>
      <w:pPr>
        <w:pStyle w:val="Heading2"/>
      </w:pPr>
      <w:r>
        <w:t>Why the first five seconds set the tone for LGBTQ+ care</w:t>
      </w:r>
      <w:r/>
    </w:p>
    <w:p>
      <w:r/>
      <w:r>
        <w:t>Walk into a clinic and you’re already being judged, often by things that seem trivial to staff: the reception smile, a poster, or whether staff use your name. Research and patient testimony both show that those opening moments determine whether someone feels safe enough to be honest. For LGBTQ+ patients who’ve learned to expect bias, a short, inclusive opening line can ease a tight knot of anxiety and make the rest of the appointment productive. Practically, train reception and triage staff to use neutral language and ask preferred name and pronouns up front , it’s low effort and high return.</w:t>
      </w:r>
      <w:r/>
    </w:p>
    <w:p>
      <w:pPr>
        <w:pStyle w:val="Heading2"/>
      </w:pPr>
      <w:r>
        <w:t>Pronouns: mistakes will happen, but how you recover matters</w:t>
      </w:r>
      <w:r/>
    </w:p>
    <w:p>
      <w:r/>
      <w:r>
        <w:t>Everyone slips up sometimes; what clinicians do after a misstep is what patients remember. Experts recommend a one-sentence correction , "Sorry, they" , then carry on with the exam, rather than launching into a long explanation of learning curves. That approach keeps the focus on care, not on the clinician’s discomfort, and preserves the therapeutic relationship. Role-play during training can help staff practise calm, quick corrections until they become instinctive.</w:t>
      </w:r>
      <w:r/>
    </w:p>
    <w:p>
      <w:pPr>
        <w:pStyle w:val="Heading2"/>
      </w:pPr>
      <w:r>
        <w:t>Medical records: the chart isn't decorative, it's a trust bridge</w:t>
      </w:r>
      <w:r/>
    </w:p>
    <w:p>
      <w:r/>
      <w:r>
        <w:t>Electronic systems often lag behind modern identity realities, with binary fields and outdated relationship options that force awkward conversations. But when staff actually read and use an entry that lists a patient’s name, pronouns or orientation, it signals respect and reduces the exhausting need to repeat one’s story. Clinics should audit their records systems, add fields for chosen name and pronouns, and train staff to consult charts before encounters. Small IT fixes and a culture of reading the record pay dividends in patient comfort.</w:t>
      </w:r>
      <w:r/>
    </w:p>
    <w:p>
      <w:pPr>
        <w:pStyle w:val="Heading2"/>
      </w:pPr>
      <w:r>
        <w:t>Ask better questions, get better answers , and better care</w:t>
      </w:r>
      <w:r/>
    </w:p>
    <w:p>
      <w:r/>
      <w:r>
        <w:t>A common clinical pitfall is vague history-taking that expects patients to guess what you mean. Instead, use inclusive, specific prompts: if someone says they’re married, follow up with the gender(s) of their partner(s) and whether they have other partners. For sexual health or social history, name the behaviours or risks you need to know about rather than relying on labels. This clarity reduces embarrassment, improves diagnostic accuracy and shows you’re genuinely comfortable with diverse lives.</w:t>
      </w:r>
      <w:r/>
    </w:p>
    <w:p>
      <w:pPr>
        <w:pStyle w:val="Heading2"/>
      </w:pPr>
      <w:r>
        <w:t>Allyship beyond the pin: consistent choices matter more than slogans</w:t>
      </w:r>
      <w:r/>
    </w:p>
    <w:p>
      <w:r/>
      <w:r>
        <w:t>Pins, posters and training days matter , they signal intent , but they don’t replace the daily choices clinicians make in pressured settings. Listening, checking consent, accurate documentation and respectful language are repeatable acts that add up. According to clinicians and community advocates, those practices are the difference between a performative badge of support and a genuinely affirming service. Teams should embed these habits into workflows so that allyship survives busy clinics and staff turnover.</w:t>
      </w:r>
      <w:r/>
    </w:p>
    <w:p>
      <w:r/>
      <w:r>
        <w:t>Closing Line</w:t>
      </w:r>
      <w:r/>
    </w:p>
    <w:p>
      <w:r/>
      <w:r>
        <w:t>It's a small set of changes, but done routinely they make care safer, less exhausting and more dignified for LGBTQ+ patients.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2">
        <w:r>
          <w:rPr>
            <w:color w:val="0000EE"/>
            <w:u w:val="single"/>
          </w:rPr>
          <w:t>[3]</w:t>
        </w:r>
      </w:hyperlink>
      <w:r>
        <w:t xml:space="preserve">- Paragraph 5: </w:t>
      </w:r>
      <w:hyperlink r:id="rId15">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https://pridesource.com/article/more-than-a-pin</w:t>
        </w:r>
      </w:hyperlink>
      <w:r>
        <w:t xml:space="preserve"> - Please view link - unable to able to access data</w:t>
      </w:r>
      <w:r/>
    </w:p>
    <w:p>
      <w:pPr>
        <w:pStyle w:val="ListNumber"/>
        <w:spacing w:line="240" w:lineRule="auto"/>
        <w:ind w:left="720"/>
      </w:pPr>
      <w:r/>
      <w:hyperlink r:id="rId10">
        <w:r>
          <w:rPr>
            <w:color w:val="0000EE"/>
            <w:u w:val="single"/>
          </w:rPr>
          <w:t>https://link.springer.com/article/10.1186/s12913-026-14432-2</w:t>
        </w:r>
      </w:hyperlink>
      <w:r>
        <w:t xml:space="preserve"> - This study explores structural barriers and the need for affirming care for LGBTQ+ young adults in healthcare settings. Participants highlighted the importance of visibly inclusive and identity-affirming spaces, such as displaying pride flags and safe space signage, to foster a sense of belonging and reduce internalized stigma. These environmental cues, combined with respectful interpersonal conduct and supportive policies, communicate safety and legitimacy, encouraging care-seeking among LGBTQ+ individuals. A Black, non-Hispanic, bisexual transman from Pittsburgh emphasized that a welcoming environment with inclusive materials improves interactions with LGBTQ+ members.</w:t>
      </w:r>
      <w:r/>
    </w:p>
    <w:p>
      <w:pPr>
        <w:pStyle w:val="ListNumber"/>
        <w:spacing w:line="240" w:lineRule="auto"/>
        <w:ind w:left="720"/>
      </w:pPr>
      <w:r/>
      <w:hyperlink r:id="rId12">
        <w:r>
          <w:rPr>
            <w:color w:val="0000EE"/>
            <w:u w:val="single"/>
          </w:rPr>
          <w:t>https://link.springer.com/article/10.1007/s40136-023-00481-2</w:t>
        </w:r>
      </w:hyperlink>
      <w:r>
        <w:t xml:space="preserve"> - This article discusses best practices for LGBTQIA+ patient care in otolaryngology, emphasizing the importance of creating an inclusive clinic environment. It suggests that LGBTQIA+ patients often seek out indicators of inclusivity, such as visual cues and inclusive language, which can positively impact their well-being. However, the article also notes that alliance signaling through visual cues alone is not sufficient; it must be coupled with affirming care to build trust. In the exam room, greeting patients by their preferred name and offering one's own pronouns can help put LGBTQIA+ patients at ease and encourage them to share more information during the medical interview.</w:t>
      </w:r>
      <w:r/>
    </w:p>
    <w:p>
      <w:pPr>
        <w:pStyle w:val="ListNumber"/>
        <w:spacing w:line="240" w:lineRule="auto"/>
        <w:ind w:left="720"/>
      </w:pPr>
      <w:r/>
      <w:hyperlink r:id="rId11">
        <w:r>
          <w:rPr>
            <w:color w:val="0000EE"/>
            <w:u w:val="single"/>
          </w:rPr>
          <w:t>https://pmc.ncbi.nlm.nih.gov/articles/PMC8389765/</w:t>
        </w:r>
      </w:hyperlink>
      <w:r>
        <w:t xml:space="preserve"> - This article highlights the importance of providing culturally responsive care for LGBTQ+ patients through inclusive language and practices. It discusses the need to remove existing barriers to healthcare, such as provider bias and reliance on prevailing stereotypes or myths about LGBTQ+ patients. Key aspects of best practice care include creating a welcoming environment with inclusive language, using correct affirming pronouns and names, and avoiding language that assumes or stereotypes sexual behaviors. The article also emphasizes the importance of training healthcare providers to be culturally competent and to use inclusive language when interacting with LGBTQ+ patients.</w:t>
      </w:r>
      <w:r/>
    </w:p>
    <w:p>
      <w:pPr>
        <w:pStyle w:val="ListNumber"/>
        <w:spacing w:line="240" w:lineRule="auto"/>
        <w:ind w:left="720"/>
      </w:pPr>
      <w:r/>
      <w:hyperlink r:id="rId13">
        <w:r>
          <w:rPr>
            <w:color w:val="0000EE"/>
            <w:u w:val="single"/>
          </w:rPr>
          <w:t>https://publications.aap.org/pediatrics/article/151/4/e2022057699/190793/Inclusive-and-Affirming-Care-Strategies-for-Sexual</w:t>
        </w:r>
      </w:hyperlink>
      <w:r>
        <w:t xml:space="preserve"> - This article provides strategies for implementing inclusive and affirming care for sexual and gender minority (SGM) patients in pediatric healthcare settings. It outlines steps at the practice level, including obtaining buy-in from stakeholders, conducting needs assessments, educating staff on gender-affirming and sexual minority language, and implementing documentation features for sexual orientation and gender identity. The article emphasizes the importance of standardizing documentation and obtaining feedback from a diverse patient population to ensure that the needs of SGM patients are being met. It also highlights the role of electronic health records in capturing SOGI data and facilitating inclusive care.</w:t>
      </w:r>
      <w:r/>
    </w:p>
    <w:p>
      <w:pPr>
        <w:pStyle w:val="ListNumber"/>
        <w:spacing w:line="240" w:lineRule="auto"/>
        <w:ind w:left="720"/>
      </w:pPr>
      <w:r/>
      <w:hyperlink r:id="rId14">
        <w:r>
          <w:rPr>
            <w:color w:val="0000EE"/>
            <w:u w:val="single"/>
          </w:rPr>
          <w:t>https://pmc.ncbi.nlm.nih.gov/articles/PMC12078994/</w:t>
        </w:r>
      </w:hyperlink>
      <w:r>
        <w:t xml:space="preserve"> - This study examines LGBTQ+ supportive and inclusive care practices in the T1D Exchange Quality Improvement Collaborative. It highlights that clinicians may practice in states where gender-affirming care is illegal, leading to missed opportunities to provide quality care to LGBTQ+ patients. The study found that documentation of pronouns occurred more frequently in pediatric centers (82%) than in adult centers (65%). However, it also noted that only 42% of pediatric centers and 24% of adult centers were willing to change sex assigned at birth (SAAB) after site-specific requirements are met. The study emphasizes the need for more SOGI supportive protocols and staff training to actively support LGBTQ+ populations.</w:t>
      </w:r>
      <w:r/>
    </w:p>
    <w:p>
      <w:pPr>
        <w:pStyle w:val="ListNumber"/>
        <w:spacing w:line="240" w:lineRule="auto"/>
        <w:ind w:left="720"/>
      </w:pPr>
      <w:r/>
      <w:hyperlink r:id="rId15">
        <w:r>
          <w:rPr>
            <w:color w:val="0000EE"/>
            <w:u w:val="single"/>
          </w:rPr>
          <w:t>https://pmc.ncbi.nlm.nih.gov/articles/PMC10853142/</w:t>
        </w:r>
      </w:hyperlink>
      <w:r>
        <w:t xml:space="preserve"> - This article presents recommendations from the Society of General Internal Medicine to improve LGBTQ+ health. Key features include collecting sexual orientation and gender identity data as part of patient demographics, maintaining an inventory of a patient’s transition history and current anatomy, and notifying healthcare providers and staff of patient name and pronouns. The article also recommends routinely asking patients about sexual orientation and gender identity on intake forms, ensuring forms use inclusive or gender-neutral language, and providing options for people to self-identify sexual orientation and gender identity. These practices aim to appropriately identify, recognize the health needs, and appropriately care for LGBTQ+ patients.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ridesource.com/article/more-than-a-pin" TargetMode="External"/><Relationship Id="rId10" Type="http://schemas.openxmlformats.org/officeDocument/2006/relationships/hyperlink" Target="https://link.springer.com/article/10.1186/s12913-026-14432-2" TargetMode="External"/><Relationship Id="rId11" Type="http://schemas.openxmlformats.org/officeDocument/2006/relationships/hyperlink" Target="https://pmc.ncbi.nlm.nih.gov/articles/PMC8389765/" TargetMode="External"/><Relationship Id="rId12" Type="http://schemas.openxmlformats.org/officeDocument/2006/relationships/hyperlink" Target="https://link.springer.com/article/10.1007/s40136-023-00481-2" TargetMode="External"/><Relationship Id="rId13" Type="http://schemas.openxmlformats.org/officeDocument/2006/relationships/hyperlink" Target="https://publications.aap.org/pediatrics/article/151/4/e2022057699/190793/Inclusive-and-Affirming-Care-Strategies-for-Sexual" TargetMode="External"/><Relationship Id="rId14" Type="http://schemas.openxmlformats.org/officeDocument/2006/relationships/hyperlink" Target="https://pmc.ncbi.nlm.nih.gov/articles/PMC12078994/" TargetMode="External"/><Relationship Id="rId15" Type="http://schemas.openxmlformats.org/officeDocument/2006/relationships/hyperlink" Target="https://pmc.ncbi.nlm.nih.gov/articles/PMC10853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