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Supreme Court Moments That Changed LGBTQ+ Rights and Why They Matter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a few landmark opinions , from Bowers to Lawrence to Obergefell , quietly reshaped what privacy, dignity, and equality mean in America, and why those shifts still matter amid this court’s new reasoning on transgender rights.</w:t>
      </w:r>
      <w:r/>
      <w:r/>
    </w:p>
    <w:p>
      <w:pPr>
        <w:pStyle w:val="ListBullet"/>
        <w:spacing w:line="240" w:lineRule="auto"/>
        <w:ind w:left="720"/>
      </w:pPr>
      <w:r/>
      <w:r>
        <w:rPr>
          <w:b/>
        </w:rPr>
        <w:t>Key reversal:</w:t>
      </w:r>
      <w:r>
        <w:t xml:space="preserve"> Bowers v. Hardwick (1986) upheld sodomy laws; Lawrence v. Texas (2003) overruled it, restoring privacy for same‑sex couples. </w:t>
      </w:r>
      <w:r/>
    </w:p>
    <w:p>
      <w:pPr>
        <w:pStyle w:val="ListBullet"/>
        <w:spacing w:line="240" w:lineRule="auto"/>
        <w:ind w:left="720"/>
      </w:pPr>
      <w:r/>
      <w:r>
        <w:rPr>
          <w:b/>
        </w:rPr>
        <w:t>Emotional pivot:</w:t>
      </w:r>
      <w:r>
        <w:t xml:space="preserve"> Kennedy’s Lawrence opinion framed private sexual autonomy as dignity‑based, a tone that helped pave the way to marriage equality. </w:t>
      </w:r>
      <w:r/>
    </w:p>
    <w:p>
      <w:pPr>
        <w:pStyle w:val="ListBullet"/>
        <w:spacing w:line="240" w:lineRule="auto"/>
        <w:ind w:left="720"/>
      </w:pPr>
      <w:r/>
      <w:r>
        <w:rPr>
          <w:b/>
        </w:rPr>
        <w:t>Tactical logic:</w:t>
      </w:r>
      <w:r>
        <w:t xml:space="preserve"> Later rulings, including Obergefell, built on privacy and equality narratives to expand rights for LGBTQ+ people. </w:t>
      </w:r>
      <w:r/>
    </w:p>
    <w:p>
      <w:pPr>
        <w:pStyle w:val="ListBullet"/>
        <w:spacing w:line="240" w:lineRule="auto"/>
        <w:ind w:left="720"/>
      </w:pPr>
      <w:r/>
      <w:r>
        <w:rPr>
          <w:b/>
        </w:rPr>
        <w:t>Today’s contrast:</w:t>
      </w:r>
      <w:r>
        <w:t xml:space="preserve"> Recent decisions that avoid status‑based reasoning show how shifts in judicial framing can limit protections for trans youth. </w:t>
      </w:r>
      <w:r/>
    </w:p>
    <w:p>
      <w:pPr>
        <w:pStyle w:val="ListBullet"/>
        <w:spacing w:line="240" w:lineRule="auto"/>
        <w:ind w:left="720"/>
      </w:pPr>
      <w:r/>
      <w:r>
        <w:rPr>
          <w:b/>
        </w:rPr>
        <w:t>Practical takeaway:</w:t>
      </w:r>
      <w:r>
        <w:t xml:space="preserve"> When courts treat laws as regulating acts rather than people, vulnerable groups often lose clear constitutional shields.</w:t>
      </w:r>
      <w:r/>
      <w:r/>
    </w:p>
    <w:p>
      <w:pPr>
        <w:pStyle w:val="Heading2"/>
      </w:pPr>
      <w:r>
        <w:t>How Bowers set the scene , and why it felt so ugly then</w:t>
      </w:r>
      <w:r/>
    </w:p>
    <w:p>
      <w:r/>
      <w:r>
        <w:t>The 1986 decision in Bowers v. Hardwick read as a blunt refusal to recognise sexual privacy for gay people, and the language made that clear. The court’s framing treated the case as a narrow constitutional question, but the opinion’s tone sent a message: certain intimacies were legally unworthy of protection. That message landed in the middle of the AIDS crisis, when stigma and fear were already high, so the ruling felt not just legalistic but deeply personal to millions. Understanding Bowers helps explain the decades of activism and legal strategy that followed.</w:t>
      </w:r>
      <w:r/>
    </w:p>
    <w:p>
      <w:pPr>
        <w:pStyle w:val="Heading2"/>
      </w:pPr>
      <w:r>
        <w:t>Lawrence v. Texas , the legal about‑turn that changed the conversation</w:t>
      </w:r>
      <w:r/>
    </w:p>
    <w:p>
      <w:r/>
      <w:r>
        <w:t>In 2003 the Supreme Court, led by Justice Anthony Kennedy, explicitly overruled Bowers in Lawrence v. Texas, rooting its decision in liberty and respect for private life. Kennedy’s opinion emphasised that the state cannot demean people by criminalising consensual intimate acts , a sentence that did more than change case law, it changed the tone of constitutional protection. The reversal shows how quickly precedent can shift when a court chooses dignity and autonomy as its touchstones, and it illustrates why advocacy and shifting public attitudes matter to legal outcomes.</w:t>
      </w:r>
      <w:r/>
    </w:p>
    <w:p>
      <w:pPr>
        <w:pStyle w:val="Heading2"/>
      </w:pPr>
      <w:r>
        <w:t>Obergefell and the path from privacy to marriage equality</w:t>
      </w:r>
      <w:r/>
    </w:p>
    <w:p>
      <w:r/>
      <w:r>
        <w:t>Obergefell v. Hodges built on Lawrence’s emphasis on dignity and liberty to secure federal recognition of same‑sex marriage. That decision was a culmination , not an accident , of the legal and cultural arc that began with challenges to sodomy laws. Marriage equality relied on the idea that the Constitution protects intimate and family choices; once privacy and equality were accepted as constitutional goods, denying marriage to same‑sex couples became harder to justify. The White House rainbow photo after Obergefell became an image of that social and legal turn, and it’s easy to see why people still pull it out to mark a turning point.</w:t>
      </w:r>
      <w:r/>
    </w:p>
    <w:p>
      <w:pPr>
        <w:pStyle w:val="Heading2"/>
      </w:pPr>
      <w:r>
        <w:t>Why today's reasoning about transgender rights matters so much</w:t>
      </w:r>
      <w:r/>
    </w:p>
    <w:p>
      <w:r/>
      <w:r>
        <w:t>Recent opinions have used a different rhetorical trick: treating regulations as neutral rules about conduct or age rather than recognising the status‑based harm experienced by transgender people. That shift echoes the old divide between “acts” and “status” that once let courts ignore the lived reality of LGBTQ+ people. When a law is written to target a procedure or a substance but in effect falls only on a particular group, the danger is that formalistic wording masks discriminatory impact. If courts accept that sleight of hand, protections shrink quickly. That’s why cases about trans youth and medical care feel so consequential.</w:t>
      </w:r>
      <w:r/>
    </w:p>
    <w:p>
      <w:pPr>
        <w:pStyle w:val="Heading2"/>
      </w:pPr>
      <w:r>
        <w:t>Practical advice for following the fight , what to watch next</w:t>
      </w:r>
      <w:r/>
    </w:p>
    <w:p>
      <w:r/>
      <w:r>
        <w:t>Keep an eye on how opinions frame the core legal question: do they centre status, or do they centre conduct? Little shifts in wording , classifying something as an age restriction rather than a status discrimination , predict how protective a ruling will be. For readers who want to follow this closely, legal blogs, court dockets, and concise explainers from reputable law centres are the best way to stay informed without getting lost in jargon. And for advocates, winning the narrative in briefs and public debate matters as much as the statutes themselves.</w:t>
      </w:r>
      <w:r/>
    </w:p>
    <w:p>
      <w:r/>
      <w:r>
        <w:t>It's a small change in legal thinking, but it can mean the difference between recognition and erasure.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2">
        <w:r>
          <w:rPr>
            <w:color w:val="0000EE"/>
            <w:u w:val="single"/>
          </w:rPr>
          <w:t>[6]</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https://www.lawdork.com/p/before-marriage-there-was-the-nearly</w:t>
        </w:r>
      </w:hyperlink>
      <w:r>
        <w:t xml:space="preserve"> - Please view link - unable to able to access data</w:t>
      </w:r>
      <w:r/>
    </w:p>
    <w:p>
      <w:pPr>
        <w:pStyle w:val="ListNumber"/>
        <w:spacing w:line="240" w:lineRule="auto"/>
        <w:ind w:left="720"/>
      </w:pPr>
      <w:r/>
      <w:hyperlink r:id="rId10">
        <w:r>
          <w:rPr>
            <w:color w:val="0000EE"/>
            <w:u w:val="single"/>
          </w:rPr>
          <w:t>https://en.wikipedia.org/wiki/Obergefell_v._Hodges</w:t>
        </w:r>
      </w:hyperlink>
      <w:r>
        <w:t xml:space="preserve"> - The Wikipedia page on Obergefell v. Hodges provides a comprehensive overview of the 2015 U.S. Supreme Court case that legalised same-sex marriage nationwide. The article details the case's background, the legal arguments presented, the Court's decision, and its implications for marriage equality in the United States. It also discusses the case's significance in the context of previous rulings and its impact on subsequent legal developments.</w:t>
      </w:r>
      <w:r/>
    </w:p>
    <w:p>
      <w:pPr>
        <w:pStyle w:val="ListNumber"/>
        <w:spacing w:line="240" w:lineRule="auto"/>
        <w:ind w:left="720"/>
      </w:pPr>
      <w:r/>
      <w:hyperlink r:id="rId13">
        <w:r>
          <w:rPr>
            <w:color w:val="0000EE"/>
            <w:u w:val="single"/>
          </w:rPr>
          <w:t>https://www.law.cornell.edu/gender-justice/resource/Obergefell_v_Hodges</w:t>
        </w:r>
      </w:hyperlink>
      <w:r>
        <w:t xml:space="preserve"> - This resource from the Legal Information Institute offers an in-depth analysis of Obergefell v. Hodges, including the Court's reasoning, the majority and dissenting opinions, and the broader legal context. It examines how the decision interpreted the Fourteenth Amendment's Due Process and Equal Protection Clauses to extend marriage rights to same-sex couples, and its significance in the evolution of LGBTQ+ rights in the U.S.</w:t>
      </w:r>
      <w:r/>
    </w:p>
    <w:p>
      <w:pPr>
        <w:pStyle w:val="ListNumber"/>
        <w:spacing w:line="240" w:lineRule="auto"/>
        <w:ind w:left="720"/>
      </w:pPr>
      <w:r/>
      <w:hyperlink r:id="rId14">
        <w:r>
          <w:rPr>
            <w:color w:val="0000EE"/>
            <w:u w:val="single"/>
          </w:rPr>
          <w:t>https://www.law.cornell.edu/wex/obergefell_v._hodges</w:t>
        </w:r>
      </w:hyperlink>
      <w:r>
        <w:t xml:space="preserve"> - The Wex entry on Obergefell v. Hodges provides a concise summary of the case, highlighting the key legal principles involved, the Court's decision, and its impact on the legal landscape regarding same-sex marriage. It also references related cases and discusses the broader implications for civil rights and constitutional law.</w:t>
      </w:r>
      <w:r/>
    </w:p>
    <w:p>
      <w:pPr>
        <w:pStyle w:val="ListNumber"/>
        <w:spacing w:line="240" w:lineRule="auto"/>
        <w:ind w:left="720"/>
      </w:pPr>
      <w:r/>
      <w:hyperlink r:id="rId15">
        <w:r>
          <w:rPr>
            <w:color w:val="0000EE"/>
            <w:u w:val="single"/>
          </w:rPr>
          <w:t>https://www.faegredrinker.com/en/insights/publications/2015/6/supreme-court-decides-obergefell-v-hodges</w:t>
        </w:r>
      </w:hyperlink>
      <w:r>
        <w:t xml:space="preserve"> - This article from Faegre Drinker Biddle &amp; Reath LLP discusses the Supreme Court's decision in Obergefell v. Hodges, explaining the legal arguments, the Court's reasoning, and the implications for same-sex marriage rights across the United States. It also provides context on the cases that led to this landmark decision and its significance in the broader civil rights movement.</w:t>
      </w:r>
      <w:r/>
    </w:p>
    <w:p>
      <w:pPr>
        <w:pStyle w:val="ListNumber"/>
        <w:spacing w:line="240" w:lineRule="auto"/>
        <w:ind w:left="720"/>
      </w:pPr>
      <w:r/>
      <w:hyperlink r:id="rId12">
        <w:r>
          <w:rPr>
            <w:color w:val="0000EE"/>
            <w:u w:val="single"/>
          </w:rPr>
          <w:t>https://www.law.cornell.edu/supremecourt/text/14-556</w:t>
        </w:r>
      </w:hyperlink>
      <w:r>
        <w:t xml:space="preserve"> - The official Supreme Court syllabus for Obergefell v. Hodges outlines the case's background, the questions presented, and the Court's decision. It provides a summary of the legal issues addressed, the Court's reasoning, and the conclusions reached, serving as a concise reference for understanding the case's legal significance.</w:t>
      </w:r>
      <w:r/>
    </w:p>
    <w:p>
      <w:pPr>
        <w:pStyle w:val="ListNumber"/>
        <w:spacing w:line="240" w:lineRule="auto"/>
        <w:ind w:left="720"/>
      </w:pPr>
      <w:r/>
      <w:hyperlink r:id="rId11">
        <w:r>
          <w:rPr>
            <w:color w:val="0000EE"/>
            <w:u w:val="single"/>
          </w:rPr>
          <w:t>https://www.law.cornell.edu/supremecourt/text/02-102</w:t>
        </w:r>
      </w:hyperlink>
      <w:r>
        <w:t xml:space="preserve"> - The official Supreme Court syllabus for Lawrence v. Texas outlines the case's background, the questions presented, and the Court's decision. It provides a summary of the legal issues addressed, the Court's reasoning, and the conclusions reached, serving as a concise reference for understanding the case's legal significance.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dork.com/p/before-marriage-there-was-the-nearly" TargetMode="External"/><Relationship Id="rId10" Type="http://schemas.openxmlformats.org/officeDocument/2006/relationships/hyperlink" Target="https://en.wikipedia.org/wiki/Obergefell_v._Hodges" TargetMode="External"/><Relationship Id="rId11" Type="http://schemas.openxmlformats.org/officeDocument/2006/relationships/hyperlink" Target="https://www.law.cornell.edu/supremecourt/text/02-102" TargetMode="External"/><Relationship Id="rId12" Type="http://schemas.openxmlformats.org/officeDocument/2006/relationships/hyperlink" Target="https://www.law.cornell.edu/supremecourt/text/14-556" TargetMode="External"/><Relationship Id="rId13" Type="http://schemas.openxmlformats.org/officeDocument/2006/relationships/hyperlink" Target="https://www.law.cornell.edu/gender-justice/resource/Obergefell_v_Hodges" TargetMode="External"/><Relationship Id="rId14" Type="http://schemas.openxmlformats.org/officeDocument/2006/relationships/hyperlink" Target="https://www.law.cornell.edu/wex/obergefell_v._hodges" TargetMode="External"/><Relationship Id="rId15" Type="http://schemas.openxmlformats.org/officeDocument/2006/relationships/hyperlink" Target="https://www.faegredrinker.com/en/insights/publications/2015/6/supreme-court-decides-obergefell-v-hod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