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Practices: Why Defending Trans Rights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activists, clinicians and rights groups are renewing calls for clear, humane care and inclusive language across Europe, because protecting trans people isn’t niche , it’s a basic civic duty that affects health, safety and belonging.</w:t>
      </w:r>
      <w:r/>
      <w:r/>
    </w:p>
    <w:p>
      <w:pPr>
        <w:pStyle w:val="ListBullet"/>
        <w:spacing w:line="240" w:lineRule="auto"/>
        <w:ind w:left="720"/>
      </w:pPr>
      <w:r/>
      <w:r>
        <w:rPr>
          <w:b/>
        </w:rPr>
        <w:t>Clear legal framework:</w:t>
      </w:r>
      <w:r>
        <w:t xml:space="preserve"> The Istanbul Convention recognises gender as socially constructed, a basis used by rights groups to defend gender diversity. </w:t>
      </w:r>
      <w:r/>
    </w:p>
    <w:p>
      <w:pPr>
        <w:pStyle w:val="ListBullet"/>
        <w:spacing w:line="240" w:lineRule="auto"/>
        <w:ind w:left="720"/>
      </w:pPr>
      <w:r/>
      <w:r>
        <w:rPr>
          <w:b/>
        </w:rPr>
        <w:t>Clinical standards exist:</w:t>
      </w:r>
      <w:r>
        <w:t xml:space="preserve"> WHO’s ICD and WPATH guidance support informed-consent models and standardised care for people with gender incongruence. </w:t>
      </w:r>
      <w:r/>
    </w:p>
    <w:p>
      <w:pPr>
        <w:pStyle w:val="ListBullet"/>
        <w:spacing w:line="240" w:lineRule="auto"/>
        <w:ind w:left="720"/>
      </w:pPr>
      <w:r/>
      <w:r>
        <w:rPr>
          <w:b/>
        </w:rPr>
        <w:t>Public attitudes are shifting:</w:t>
      </w:r>
      <w:r>
        <w:t xml:space="preserve"> Reports show rising negative commentary about trans people in some countries, increasing the need for advocacy and education. </w:t>
      </w:r>
      <w:r/>
    </w:p>
    <w:p>
      <w:pPr>
        <w:pStyle w:val="ListBullet"/>
        <w:spacing w:line="240" w:lineRule="auto"/>
        <w:ind w:left="720"/>
      </w:pPr>
      <w:r/>
      <w:r>
        <w:rPr>
          <w:b/>
        </w:rPr>
        <w:t>Local services matter:</w:t>
      </w:r>
      <w:r>
        <w:t xml:space="preserve"> Decentralised, dignified healthcare makes a real difference for trans patients , it’s about access, privacy and respect. </w:t>
      </w:r>
      <w:r/>
      <w:r/>
    </w:p>
    <w:p>
      <w:pPr>
        <w:pStyle w:val="Heading2"/>
      </w:pPr>
      <w:r>
        <w:t>Pride’s roots remind us why visibility matters</w:t>
      </w:r>
      <w:r/>
    </w:p>
    <w:p>
      <w:r/>
      <w:r>
        <w:t>Pride began as protest, not party; trans activists like Marsha P. Johnson and Sylvia Rivera stood at the front because their lives were on the line. That rawness still matters now , seeing someone who looks like you in public, hearing their name used correctly, eases social isolation and signals safety. Those sensory moments , a familiar face in a crowd, a correct pronoun used in conversation , are small but powerful.</w:t>
      </w:r>
      <w:r/>
    </w:p>
    <w:p>
      <w:r/>
      <w:r>
        <w:t>Historically, visibility changed laws and hearts. The Stonewall uprisings were a turning point for LGBT rights, and contemporary pride events carry that legacy into streets and clinics. For many, Pride remains both a celebration and a demand: recognition, protection and services.</w:t>
      </w:r>
      <w:r/>
    </w:p>
    <w:p>
      <w:pPr>
        <w:pStyle w:val="Heading2"/>
      </w:pPr>
      <w:r>
        <w:t>International rules back up local advocacy</w:t>
      </w:r>
      <w:r/>
    </w:p>
    <w:p>
      <w:r/>
      <w:r>
        <w:t>International bodies have concrete definitions and guidance that support gender diversity. The Council of Europe’s Istanbul Convention explicitly recognises gender as socially constructed, a legal foothold for anti-discrimination work. Similarly, the WHO’s diagnostic classifications and WPATH’s standards of care provide clinical legitimacy for treatment pathways and informed consent models.</w:t>
      </w:r>
      <w:r/>
    </w:p>
    <w:p>
      <w:r/>
      <w:r>
        <w:t>These frameworks aren’t abstract , they give policymakers and clinicians something to point to when designing services, drafting laws, or defending rights in public debates. That’s useful when national politics gets noisy.</w:t>
      </w:r>
      <w:r/>
    </w:p>
    <w:p>
      <w:pPr>
        <w:pStyle w:val="Heading2"/>
      </w:pPr>
      <w:r>
        <w:t>Why decent healthcare for trans people is practical, not ideological</w:t>
      </w:r>
      <w:r/>
    </w:p>
    <w:p>
      <w:r/>
      <w:r>
        <w:t>Good care for trans patients looks like timely referrals, localised services, clear pathways for consent, and clinicians trained in respectful communication. When services are decentralised and based on informed consent, patients report better outcomes and fewer delays.</w:t>
      </w:r>
      <w:r/>
    </w:p>
    <w:p>
      <w:r/>
      <w:r>
        <w:t>From a pragmatic angle, early access to appropriate care can reduce distress, improve mental health, and cut long-term costs linked to untreated conditions. So if you care about public health budgets, local clinics and patient dignity, this isn’t a niche issue.</w:t>
      </w:r>
      <w:r/>
    </w:p>
    <w:p>
      <w:pPr>
        <w:pStyle w:val="Heading2"/>
      </w:pPr>
      <w:r>
        <w:t>Words shape lives: language, law and everyday safety</w:t>
      </w:r>
      <w:r/>
    </w:p>
    <w:p>
      <w:r/>
      <w:r>
        <w:t>Language about gender matters in schools, workplaces and healthcare. Organisations like Amnesty and national advocacy groups use internationally recognised definitions to build consistent, respectful communication. That consistency reduces confusion, protects rights and lowers the temperature of public debate.</w:t>
      </w:r>
      <w:r/>
    </w:p>
    <w:p>
      <w:r/>
      <w:r>
        <w:t>At the same time, rising hostile rhetoric in parts of Europe and elsewhere has translated into more attacks and discrimination. When public conversation tips toward fear or mockery, people’s safety deteriorates. So speaking precisely, and kindly, is a small civic habit with tangible effects.</w:t>
      </w:r>
      <w:r/>
    </w:p>
    <w:p>
      <w:pPr>
        <w:pStyle w:val="Heading2"/>
      </w:pPr>
      <w:r>
        <w:t>How to support trans rights in practical ways</w:t>
      </w:r>
      <w:r/>
    </w:p>
    <w:p>
      <w:r/>
      <w:r>
        <w:t>If you want to help, start local: attend Pride, support community clinics, donate to advocacy groups, or volunteer for helplines. In workplaces and schools, push for clear policies on pronouns and anti-bullying. When reading news or social media, check sources and avoid amplifying sensationalist claims about healthcare.</w:t>
      </w:r>
      <w:r/>
    </w:p>
    <w:p>
      <w:r/>
      <w:r>
        <w:t>And personally, get comfortable with simple courtesies: use the names and pronouns people ask for, challenge a joke that dehumanises someone, and learn a little about the services your local health authority offers.</w:t>
      </w:r>
      <w:r/>
    </w:p>
    <w:p>
      <w:r/>
      <w:r>
        <w:t>It’s a small change that can make every community safer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1">
        <w:r>
          <w:rPr>
            <w:color w:val="0000EE"/>
            <w:u w:val="single"/>
          </w:rPr>
          <w:t>[7]</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https://www.aftenposten.no/meninger/debatt/i/7pRQ98/ingen-er-fri-foer-alle-er-fri</w:t>
        </w:r>
      </w:hyperlink>
      <w:r>
        <w:t xml:space="preserve"> - Please view link - unable to able to access data</w:t>
      </w:r>
      <w:r/>
    </w:p>
    <w:p>
      <w:pPr>
        <w:pStyle w:val="ListNumber"/>
        <w:spacing w:line="240" w:lineRule="auto"/>
        <w:ind w:left="720"/>
      </w:pPr>
      <w:r/>
      <w:hyperlink r:id="rId10">
        <w:r>
          <w:rPr>
            <w:color w:val="0000EE"/>
            <w:u w:val="single"/>
          </w:rPr>
          <w:t>https://www.coe.int/en/web/istanbul-convention/definition-of-gender</w:t>
        </w:r>
      </w:hyperlink>
      <w:r>
        <w:t xml:space="preserve"> - The Council of Europe defines gender in Article 3(c) of the Istanbul Convention as 'socially constructed roles, behaviours, activities, and attributes that a given society considers appropriate for women and men.' This definition has faced opposition from conservative and religious groups in parts of Europe, including Turkey, which withdrew from the convention in March 2021, citing concerns over its alignment with societal and family values.</w:t>
      </w:r>
      <w:r/>
    </w:p>
    <w:p>
      <w:pPr>
        <w:pStyle w:val="ListNumber"/>
        <w:spacing w:line="240" w:lineRule="auto"/>
        <w:ind w:left="720"/>
      </w:pPr>
      <w:r/>
      <w:hyperlink r:id="rId15">
        <w:r>
          <w:rPr>
            <w:color w:val="0000EE"/>
            <w:u w:val="single"/>
          </w:rPr>
          <w:t>https://www.icj.org/turkey-withdraws-from-istanbul-convention/</w:t>
        </w:r>
      </w:hyperlink>
      <w:r>
        <w:t xml:space="preserve"> - In March 2021, Turkey withdrew from the Istanbul Convention, arguing that it 'normalises homosexuality' and is 'incompatible with Turkey's social and family values.' This decision has been met with criticism from human rights organisations and advocates for women's and LGBTQ+ rights.</w:t>
      </w:r>
      <w:r/>
    </w:p>
    <w:p>
      <w:pPr>
        <w:pStyle w:val="ListNumber"/>
        <w:spacing w:line="240" w:lineRule="auto"/>
        <w:ind w:left="720"/>
      </w:pPr>
      <w:r/>
      <w:hyperlink r:id="rId12">
        <w:r>
          <w:rPr>
            <w:color w:val="0000EE"/>
            <w:u w:val="single"/>
          </w:rPr>
          <w:t>https://www.who.int/classifications/icd/en/</w:t>
        </w:r>
      </w:hyperlink>
      <w:r>
        <w:t xml:space="preserve"> - The World Health Organization's International Classification of Diseases (ICD) provides a comprehensive framework for diagnosing health conditions, including those related to gender identity. The ICD is used globally to standardise health data and inform treatment protocols.</w:t>
      </w:r>
      <w:r/>
    </w:p>
    <w:p>
      <w:pPr>
        <w:pStyle w:val="ListNumber"/>
        <w:spacing w:line="240" w:lineRule="auto"/>
        <w:ind w:left="720"/>
      </w:pPr>
      <w:r/>
      <w:hyperlink r:id="rId13">
        <w:r>
          <w:rPr>
            <w:color w:val="0000EE"/>
            <w:u w:val="single"/>
          </w:rPr>
          <w:t>https://www.wpath.org/publications/soc</w:t>
        </w:r>
      </w:hyperlink>
      <w:r>
        <w:t xml:space="preserve"> - The World Professional Association for Transgender Health (WPATH) publishes the Standards of Care, which offer clinical guidelines for the health of transgender and gender non-conforming people. These standards are widely recognised and utilised by healthcare providers worldwide.</w:t>
      </w:r>
      <w:r/>
    </w:p>
    <w:p>
      <w:pPr>
        <w:pStyle w:val="ListNumber"/>
        <w:spacing w:line="240" w:lineRule="auto"/>
        <w:ind w:left="720"/>
      </w:pPr>
      <w:r/>
      <w:hyperlink r:id="rId14">
        <w:r>
          <w:rPr>
            <w:color w:val="0000EE"/>
            <w:u w:val="single"/>
          </w:rPr>
          <w:t>https://www.bufdir.no/Statistikk_og_analyse/Artikler/Transpersoner_i_Norge/</w:t>
        </w:r>
      </w:hyperlink>
      <w:r>
        <w:t xml:space="preserve"> - The Norwegian Directorate for Children, Youth and Family Affairs (Bufdir) reports an increase in negative attitudes towards transgender individuals in Norway. This trend reflects a broader global rise in discrimination and violence against transgender people.</w:t>
      </w:r>
      <w:r/>
    </w:p>
    <w:p>
      <w:pPr>
        <w:pStyle w:val="ListNumber"/>
        <w:spacing w:line="240" w:lineRule="auto"/>
        <w:ind w:left="720"/>
      </w:pPr>
      <w:r/>
      <w:hyperlink r:id="rId11">
        <w:r>
          <w:rPr>
            <w:color w:val="0000EE"/>
            <w:u w:val="single"/>
          </w:rPr>
          <w:t>https://www.amnesty.org/en/latest/news/2021/06/attacks-on-lgbt-people-increase-worldwide/</w:t>
        </w:r>
      </w:hyperlink>
      <w:r>
        <w:t xml:space="preserve"> - Amnesty International highlights a global rise in attacks against LGBTQ+ individuals, particularly transgender people. The organisation calls for stronger protections and support systems to address this escalating violence and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ftenposten.no/meninger/debatt/i/7pRQ98/ingen-er-fri-foer-alle-er-fri" TargetMode="External"/><Relationship Id="rId10" Type="http://schemas.openxmlformats.org/officeDocument/2006/relationships/hyperlink" Target="https://www.coe.int/en/web/istanbul-convention/definition-of-gender" TargetMode="External"/><Relationship Id="rId11" Type="http://schemas.openxmlformats.org/officeDocument/2006/relationships/hyperlink" Target="https://www.amnesty.org/en/latest/news/2021/06/attacks-on-lgbt-people-increase-worldwide/" TargetMode="External"/><Relationship Id="rId12" Type="http://schemas.openxmlformats.org/officeDocument/2006/relationships/hyperlink" Target="https://www.who.int/classifications/icd/en/" TargetMode="External"/><Relationship Id="rId13" Type="http://schemas.openxmlformats.org/officeDocument/2006/relationships/hyperlink" Target="https://www.wpath.org/publications/soc" TargetMode="External"/><Relationship Id="rId14" Type="http://schemas.openxmlformats.org/officeDocument/2006/relationships/hyperlink" Target="https://www.bufdir.no/Statistikk_og_analyse/Artikler/Transpersoner_i_Norge/" TargetMode="External"/><Relationship Id="rId15" Type="http://schemas.openxmlformats.org/officeDocument/2006/relationships/hyperlink" Target="https://www.icj.org/turkey-withdraws-from-istanbul-con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