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Companies Can Close the LGBTQIA+ Wage Gap and Improve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employees and advocates are pushing companies to do more: employers can help narrow the LGBTQIA+ wage gap, make workplaces safer and uplift intersecting minorities , and that matters because pay, progression and dignity all shape people’s lives and livelihoods.</w:t>
      </w:r>
      <w:r/>
    </w:p>
    <w:p>
      <w:r/>
      <w:r>
        <w:t>Essential Takeaways</w:t>
      </w:r>
      <w:r/>
      <w:r/>
    </w:p>
    <w:p>
      <w:pPr>
        <w:pStyle w:val="ListBullet"/>
        <w:spacing w:line="240" w:lineRule="auto"/>
        <w:ind w:left="720"/>
      </w:pPr>
      <w:r/>
      <w:r>
        <w:rPr>
          <w:b/>
        </w:rPr>
        <w:t>Pay disparity persists:</w:t>
      </w:r>
      <w:r>
        <w:t xml:space="preserve"> LGBTQIA+ workers earn less on average than their straight, cis peers, with even bigger gaps for people of colour and trans employees. </w:t>
      </w:r>
      <w:r/>
    </w:p>
    <w:p>
      <w:pPr>
        <w:pStyle w:val="ListBullet"/>
        <w:spacing w:line="240" w:lineRule="auto"/>
        <w:ind w:left="720"/>
      </w:pPr>
      <w:r/>
      <w:r>
        <w:rPr>
          <w:b/>
        </w:rPr>
        <w:t>Silence is common:</w:t>
      </w:r>
      <w:r>
        <w:t xml:space="preserve"> A large share of LGBTQIA+ staff still hide their identity at work, which affects wellbeing and career progression. </w:t>
      </w:r>
      <w:r/>
    </w:p>
    <w:p>
      <w:pPr>
        <w:pStyle w:val="ListBullet"/>
        <w:spacing w:line="240" w:lineRule="auto"/>
        <w:ind w:left="720"/>
      </w:pPr>
      <w:r/>
      <w:r>
        <w:rPr>
          <w:b/>
        </w:rPr>
        <w:t>Policy alone isn’t enough:</w:t>
      </w:r>
      <w:r>
        <w:t xml:space="preserve"> Anti-discrimination laws exist, but implementation, training and data disaggregation are weak or inconsistent. </w:t>
      </w:r>
      <w:r/>
    </w:p>
    <w:p>
      <w:pPr>
        <w:pStyle w:val="ListBullet"/>
        <w:spacing w:line="240" w:lineRule="auto"/>
        <w:ind w:left="720"/>
      </w:pPr>
      <w:r/>
      <w:r>
        <w:rPr>
          <w:b/>
        </w:rPr>
        <w:t>Practical fixes:</w:t>
      </w:r>
      <w:r>
        <w:t xml:space="preserve"> Mandatory, targeted training, disaggregated pay audits and clearer reporting protections help , and they’re doable. </w:t>
      </w:r>
      <w:r/>
    </w:p>
    <w:p>
      <w:pPr>
        <w:pStyle w:val="ListBullet"/>
        <w:spacing w:line="240" w:lineRule="auto"/>
        <w:ind w:left="720"/>
      </w:pPr>
      <w:r/>
      <w:r>
        <w:rPr>
          <w:b/>
        </w:rPr>
        <w:t>Wider trend:</w:t>
      </w:r>
      <w:r>
        <w:t xml:space="preserve"> Global rollbacks on DEI make employer-level action more vital than ever; companies can still lead by example.</w:t>
      </w:r>
      <w:r/>
      <w:r/>
    </w:p>
    <w:p>
      <w:pPr>
        <w:pStyle w:val="Heading2"/>
      </w:pPr>
      <w:r>
        <w:t>Why the wage gap for LGBTQIA+ workers still matters</w:t>
      </w:r>
      <w:r/>
    </w:p>
    <w:p>
      <w:r/>
      <w:r>
        <w:t>The numbers are stark: LGBTQIA+ people often earn less than their peers, and that gap widens for those who are not white or who are trans. That’s not just an economic footnote, it’s a texture of daily life , smaller pay packets, fewer savings and more precarity. According to research from advocacy groups, the wage gap is measurable and persistent, so employers who care about retention and fairness can’t ignore it. Practical steps at company level , pay transparency and targeted action on intersectional groups , will make an immediate difference.</w:t>
      </w:r>
      <w:r/>
    </w:p>
    <w:p>
      <w:pPr>
        <w:pStyle w:val="Heading2"/>
      </w:pPr>
      <w:r>
        <w:t>People hide who they are at work , and that hurts careers</w:t>
      </w:r>
      <w:r/>
    </w:p>
    <w:p>
      <w:r/>
      <w:r>
        <w:t>Many LGBTQIA+ employees still conceal their identity at work because they fear backlash or subtle exclusion. Stonewall’s research shows almost 40% of LGBT staff have hidden who they are, which colours everything from asking for promotions to seeking mentorship. When someone feels they can’t be themselves, their performance, mental health and visibility for advancement all suffer. Employers should make psychological safety a priority: visible allyship from leaders, employee resource groups that have real budget and influence, and explicit protections that go beyond token gestures.</w:t>
      </w:r>
      <w:r/>
    </w:p>
    <w:p>
      <w:pPr>
        <w:pStyle w:val="Heading2"/>
      </w:pPr>
      <w:r>
        <w:t>Laws exist, but implementation and data are the missing pieces</w:t>
      </w:r>
      <w:r/>
    </w:p>
    <w:p>
      <w:r/>
      <w:r>
        <w:t>There are legal frameworks intended to protect LGBTQIA+ people, yet laws alone don’t close gaps. The Equality Act and similar protections set a baseline, but unless companies collect and publish disaggregated data , by sexuality, gender identity, race and other axes , they can’t spot which groups are falling behind. Pay audits that slice data by multiple identity markers help reveal hidden inequalities. Firms that combine legal compliance with granular analysis and public commitments often see better outcomes.</w:t>
      </w:r>
      <w:r/>
    </w:p>
    <w:p>
      <w:pPr>
        <w:pStyle w:val="Heading2"/>
      </w:pPr>
      <w:r>
        <w:t>Training and workplace culture: not boxes to tick</w:t>
      </w:r>
      <w:r/>
    </w:p>
    <w:p>
      <w:r/>
      <w:r>
        <w:t>Mandatory anti-discrimination training is useful when it’s specific, repeated and rooted in lived experience. Generic sessions fail; employees tell employers when training feels like a box-ticking exercise. Effective programmes include scenarios around microaggressions, trans inclusion, pronouns and bystander intervention, and they’re evaluated for impact. It also helps when consequences for harassment are consistent and visible, because trust grows when people see fairness in action.</w:t>
      </w:r>
      <w:r/>
    </w:p>
    <w:p>
      <w:pPr>
        <w:pStyle w:val="Heading2"/>
      </w:pPr>
      <w:r>
        <w:t>What practical steps companies can take today</w:t>
      </w:r>
      <w:r/>
    </w:p>
    <w:p>
      <w:r/>
      <w:r>
        <w:t>Start with pay transparency and routine, intersectional pay audits to identify disparities. Tie executive pay or bonuses to measurable inclusion goals to make progress accountable. Build safe, confidential reporting channels and protect staff from retaliation; encourage staff networks with budgets and decision-making power. Finally, recruit and promote from a diverse pool and track outcomes , representation in senior roles matters for policy and culture alike. These are practical, measurable moves that don’t require waiting for national politics to shift.</w:t>
      </w:r>
      <w:r/>
    </w:p>
    <w:p>
      <w:r/>
      <w:r>
        <w:t>Closing line</w:t>
      </w:r>
      <w:r/>
    </w:p>
    <w:p>
      <w:r/>
      <w:r>
        <w:t>A few targeted changes at company level , better data, meaningful training and clear protections , can make the difference between a workplace that looks inclusive on paper and one that truly is.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2">
        <w:r>
          <w:rPr>
            <w:color w:val="0000EE"/>
            <w:u w:val="single"/>
          </w:rPr>
          <w:t>[4]</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https://theboar.org/2026/06/can-companies-do-more-for-lgbtqia-inclusion/</w:t>
        </w:r>
      </w:hyperlink>
      <w:r>
        <w:t xml:space="preserve"> - Please view link - unable to able to access data</w:t>
      </w:r>
      <w:r/>
    </w:p>
    <w:p>
      <w:pPr>
        <w:pStyle w:val="ListNumber"/>
        <w:spacing w:line="240" w:lineRule="auto"/>
        <w:ind w:left="720"/>
      </w:pPr>
      <w:r/>
      <w:hyperlink r:id="rId10">
        <w:r>
          <w:rPr>
            <w:color w:val="0000EE"/>
            <w:u w:val="single"/>
          </w:rPr>
          <w:t>https://www.hrc.org/resources/the-wage-gap-among-lgbtq-workers-in-the-united-states</w:t>
        </w:r>
      </w:hyperlink>
      <w:r>
        <w:t xml:space="preserve"> - The Human Rights Campaign (HRC) reports that LGBTQ+ workers in the United States earn approximately 90 cents for every dollar earned by the typical worker. This wage disparity is even more pronounced for transgender, non-binary, and LGBTQ+ people of colour. The data is based on the 2021 LGBTQ+ Community Survey, which included over 23,000 LGBTQ+ adults. The survey highlights the need for comprehensive policies to address these disparities and promote equal pay for all workers, regardless of sexual orientation or gender identity.</w:t>
      </w:r>
      <w:r/>
    </w:p>
    <w:p>
      <w:pPr>
        <w:pStyle w:val="ListNumber"/>
        <w:spacing w:line="240" w:lineRule="auto"/>
        <w:ind w:left="720"/>
      </w:pPr>
      <w:r/>
      <w:hyperlink r:id="rId11">
        <w:r>
          <w:rPr>
            <w:color w:val="0000EE"/>
            <w:u w:val="single"/>
          </w:rPr>
          <w:t>https://www.americanprogress.org/article/the-2024-lgbtqi-wage-gap/</w:t>
        </w:r>
      </w:hyperlink>
      <w:r>
        <w:t xml:space="preserve"> - The Center for American Progress (CAP) analysis reveals that in 2024, LGBTQI+ households earned just 85 cents for every dollar earned by non-LGBTQI+ households, amounting to approximately $12,600 less annually. This wage gap underscores the economic challenges faced by the LGBTQI+ community and highlights the necessity for targeted policies to address these disparities. The findings are based on CAP’s biennial LGBTQI+ Community Survey, which provides insights into various aspects of the LGBTQI+ community's experiences and challenges.</w:t>
      </w:r>
      <w:r/>
    </w:p>
    <w:p>
      <w:pPr>
        <w:pStyle w:val="ListNumber"/>
        <w:spacing w:line="240" w:lineRule="auto"/>
        <w:ind w:left="720"/>
      </w:pPr>
      <w:r/>
      <w:hyperlink r:id="rId12">
        <w:r>
          <w:rPr>
            <w:color w:val="0000EE"/>
            <w:u w:val="single"/>
          </w:rPr>
          <w:t>https://www.stonewall.org.uk/news/new-research-shows-almost-40-of-lgbtq-employees-still-hide-their-identity-at-work</w:t>
        </w:r>
      </w:hyperlink>
      <w:r>
        <w:t xml:space="preserve"> - Stonewall UK's research indicates that nearly 40% of LGBTQ+ employees feel compelled to conceal their identity at work. The study also found that 36% have overheard discriminatory comments about LGBTQ+ colleagues, and 26% have faced negative remarks or conduct from customers or clients due to their identity. Additionally, 12% believe they were dismissed because of their LGBTQ+ status. These findings highlight the persistent discrimination in workplaces and the need for inclusive policies and environments that support LGBTQ+ employees.</w:t>
      </w:r>
      <w:r/>
    </w:p>
    <w:p>
      <w:pPr>
        <w:pStyle w:val="ListNumber"/>
        <w:spacing w:line="240" w:lineRule="auto"/>
        <w:ind w:left="720"/>
      </w:pPr>
      <w:r/>
      <w:hyperlink r:id="rId14">
        <w:r>
          <w:rPr>
            <w:color w:val="0000EE"/>
            <w:u w:val="single"/>
          </w:rPr>
          <w:t>https://www.stonewall.org.uk/shaping-policy/hate-crime</w:t>
        </w:r>
      </w:hyperlink>
      <w:r>
        <w:t xml:space="preserve"> - Stonewall UK reports a significant rise in hate crimes against LGBTQ+ individuals, with over 18,000 incidents motivated by sexual orientation and more than 3,000 trans-related hate crimes recorded between March 2024 and March 2025. This represents a 20% increase in sexual orientation-based hate crimes and a 50% rise in trans-related hate crimes over the past five years. The data underscores the urgent need for effective measures to combat hate crimes and protect the LGBTQ+ community.</w:t>
      </w:r>
      <w:r/>
    </w:p>
    <w:p>
      <w:pPr>
        <w:pStyle w:val="ListNumber"/>
        <w:spacing w:line="240" w:lineRule="auto"/>
        <w:ind w:left="720"/>
      </w:pPr>
      <w:r/>
      <w:hyperlink r:id="rId13">
        <w:r>
          <w:rPr>
            <w:color w:val="0000EE"/>
            <w:u w:val="single"/>
          </w:rPr>
          <w:t>https://www.stonewall.org.uk/resources/lgbtq-facts-and-figures</w:t>
        </w:r>
      </w:hyperlink>
      <w:r>
        <w:t xml:space="preserve"> - Stonewall UK's 'LGBTQ+ facts and figures' provide comprehensive data on the challenges faced by LGBTQ+ individuals across various sectors, including health, employment, education, and sport. Key findings include that 13% of LGBT people have experienced unequal treatment from healthcare staff, 35% of LGBT staff have hidden their identity at work due to fear of discrimination, and 12% of LGBT people avoid going to the gym or participating in sports groups because of fear of discrimination and harassment. These statistics highlight the systemic issues affecting the LGBTQ+ community and the need for targeted interventions.</w:t>
      </w:r>
      <w:r/>
    </w:p>
    <w:p>
      <w:pPr>
        <w:pStyle w:val="ListNumber"/>
        <w:spacing w:line="240" w:lineRule="auto"/>
        <w:ind w:left="720"/>
      </w:pPr>
      <w:r/>
      <w:hyperlink r:id="rId15">
        <w:r>
          <w:rPr>
            <w:color w:val="0000EE"/>
            <w:u w:val="single"/>
          </w:rPr>
          <w:t>https://www.stonewall.org.uk/news/stonewall-responds-to-new-home-office-hate-crime-statistics-issued-today</w:t>
        </w:r>
      </w:hyperlink>
      <w:r>
        <w:t xml:space="preserve"> - Stonewall UK's response to the Home Office's hate crime statistics for March 2023 to March 2024 highlights a decrease in reported hate crimes motivated by sexual orientation and gender identity. However, the organisation expresses concern over the significant increase in religious hate crimes during the same period. Stonewall emphasises the need for comprehensive strategies to address all forms of hate crime and ensure the safety and inclusion of all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oar.org/2026/06/can-companies-do-more-for-lgbtqia-inclusion/" TargetMode="External"/><Relationship Id="rId10" Type="http://schemas.openxmlformats.org/officeDocument/2006/relationships/hyperlink" Target="https://www.hrc.org/resources/the-wage-gap-among-lgbtq-workers-in-the-united-states" TargetMode="External"/><Relationship Id="rId11" Type="http://schemas.openxmlformats.org/officeDocument/2006/relationships/hyperlink" Target="https://www.americanprogress.org/article/the-2024-lgbtqi-wage-gap/" TargetMode="External"/><Relationship Id="rId12" Type="http://schemas.openxmlformats.org/officeDocument/2006/relationships/hyperlink" Target="https://www.stonewall.org.uk/news/new-research-shows-almost-40-of-lgbtq-employees-still-hide-their-identity-at-work" TargetMode="External"/><Relationship Id="rId13" Type="http://schemas.openxmlformats.org/officeDocument/2006/relationships/hyperlink" Target="https://www.stonewall.org.uk/resources/lgbtq-facts-and-figures" TargetMode="External"/><Relationship Id="rId14" Type="http://schemas.openxmlformats.org/officeDocument/2006/relationships/hyperlink" Target="https://www.stonewall.org.uk/shaping-policy/hate-crime" TargetMode="External"/><Relationship Id="rId15" Type="http://schemas.openxmlformats.org/officeDocument/2006/relationships/hyperlink" Target="https://www.stonewall.org.uk/news/stonewall-responds-to-new-home-office-hate-crime-statistics-issued-to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