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International Research on Masculinities and LGBTQ+ Rights for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International Pride Day by exploring seven eye-opening studies showing how masculinities, media and workplaces shape LGBTQ+ lives across Spain, China, Indonesia, India and beyond , and why those findings matter if you care about inclusion, culture and everyday safety.</w:t>
      </w:r>
      <w:r/>
      <w:r/>
    </w:p>
    <w:p>
      <w:pPr>
        <w:pStyle w:val="ListBullet"/>
        <w:spacing w:line="240" w:lineRule="auto"/>
        <w:ind w:left="720"/>
      </w:pPr>
      <w:r/>
      <w:r>
        <w:rPr>
          <w:b/>
        </w:rPr>
        <w:t>Broad geographic sweep:</w:t>
      </w:r>
      <w:r>
        <w:t xml:space="preserve"> Studies cover Spain, China, Indonesia, India and wider regions in Europe, Asia and Latin America, offering cross-cultural perspective. </w:t>
      </w:r>
      <w:r/>
    </w:p>
    <w:p>
      <w:pPr>
        <w:pStyle w:val="ListBullet"/>
        <w:spacing w:line="240" w:lineRule="auto"/>
        <w:ind w:left="720"/>
      </w:pPr>
      <w:r/>
      <w:r>
        <w:rPr>
          <w:b/>
        </w:rPr>
        <w:t>Everyday stakes:</w:t>
      </w:r>
      <w:r>
        <w:t xml:space="preserve"> Research links school and workplace environments to wellbeing , teachers, colleagues and policies make a real difference. </w:t>
      </w:r>
      <w:r/>
    </w:p>
    <w:p>
      <w:pPr>
        <w:pStyle w:val="ListBullet"/>
        <w:spacing w:line="240" w:lineRule="auto"/>
        <w:ind w:left="720"/>
      </w:pPr>
      <w:r/>
      <w:r>
        <w:rPr>
          <w:b/>
        </w:rPr>
        <w:t>Media matters:</w:t>
      </w:r>
      <w:r>
        <w:t xml:space="preserve"> Social platforms and films shape beliefs; richer portrayals and friendships tend to reduce prejudice. </w:t>
      </w:r>
      <w:r/>
    </w:p>
    <w:p>
      <w:pPr>
        <w:pStyle w:val="ListBullet"/>
        <w:spacing w:line="240" w:lineRule="auto"/>
        <w:ind w:left="720"/>
      </w:pPr>
      <w:r/>
      <w:r>
        <w:rPr>
          <w:b/>
        </w:rPr>
        <w:t>Complex masculinities:</w:t>
      </w:r>
      <w:r>
        <w:t xml:space="preserve"> Findings show men perform, negotiate and sometimes resist traditional masculinity in ways that affect queer visibility and safety. </w:t>
      </w:r>
      <w:r/>
    </w:p>
    <w:p>
      <w:pPr>
        <w:pStyle w:val="ListBullet"/>
        <w:spacing w:line="240" w:lineRule="auto"/>
        <w:ind w:left="720"/>
      </w:pPr>
      <w:r/>
      <w:r>
        <w:rPr>
          <w:b/>
        </w:rPr>
        <w:t>Practical signals:</w:t>
      </w:r>
      <w:r>
        <w:t xml:space="preserve"> Inclusive policies, better education and positive media representation emerge as straightforward levers for change.</w:t>
      </w:r>
      <w:r/>
      <w:r/>
    </w:p>
    <w:p>
      <w:pPr>
        <w:pStyle w:val="Heading2"/>
      </w:pPr>
      <w:r>
        <w:t>Pride research shows discrimination remains visible , and visible work can push back</w:t>
      </w:r>
      <w:r/>
    </w:p>
    <w:p>
      <w:r/>
      <w:r>
        <w:t>International studies compiled for Pride Day make a blunt point: discrimination against LGBTQ+ people is still widely felt, even where legal protections exist, and that feeling is tangible , young people report it in schools, employees in offices, audiences in cinemas. According to recent research highlighted by Masculinities &amp; Social Change, Spanish LGBTI+ adolescents are politically engaged and aware of legal debates, yet they still perceive persistent bias. That mix of activism and frustration tells you two things at once: progress is happening, but the everyday culture has lagged behind. For parents, teachers and employers the message is simple , policy alone won’t fix this; daily practices do.</w:t>
      </w:r>
      <w:r/>
    </w:p>
    <w:p>
      <w:pPr>
        <w:pStyle w:val="Heading2"/>
      </w:pPr>
      <w:r>
        <w:t>Film and popular culture shape how masculinity and queerness are seen</w:t>
      </w:r>
      <w:r/>
    </w:p>
    <w:p>
      <w:r/>
      <w:r>
        <w:t>Film studies from Indonesia and literary analysis from Cuba show art both reflects and reproduces social norms. Researchers found Indonesian films often render gay men invisible, expose them to cinematic violence, or frame their masculinity through heteronormative performances , a defensive posture that’s itself telling. Meanwhile, work on Cuban exile literature reveals that even anti‑censorship writing can carry femmephobic undertones. So if you’re picking what to watch or teach, be aware that representation isn’t neutral; it’s a circulating lesson in who counts as “proper” manhood. Seek nuance, not tokenism.</w:t>
      </w:r>
      <w:r/>
    </w:p>
    <w:p>
      <w:pPr>
        <w:pStyle w:val="Heading2"/>
      </w:pPr>
      <w:r>
        <w:t>Social media isn’t a uniform influence , platform and region change the story</w:t>
      </w:r>
      <w:r/>
    </w:p>
    <w:p>
      <w:r/>
      <w:r>
        <w:t>Comparative analysis of Western platforms and Chinese social media around the mpox conversation found that Western channels shared more misinformation and less scientific evidence than platforms like Weibo. That’s a useful reminder: the medium, moderation and local norms shape what people learn online. For activists and communicators, the tactical takeaway is to tailor messages to platform dynamics and to prioritise trusted, evidence‑based voices where misinformation spreads fastest.</w:t>
      </w:r>
      <w:r/>
    </w:p>
    <w:p>
      <w:pPr>
        <w:pStyle w:val="Heading2"/>
      </w:pPr>
      <w:r>
        <w:t>Men’s friendships, media portrayals and workplace policy all move the dial</w:t>
      </w:r>
      <w:r/>
    </w:p>
    <w:p>
      <w:r/>
      <w:r>
        <w:t>When it comes to workplaces, the research from India is encouraging: heterosexual men who have positive friendships with gay colleagues, who see better media representation and who work under inclusive policies tend to be more accepting. That’s practical and optimistic , inclusion isn’t just a box to tick, it’s social. Employers can act now by encouraging everyday interactions, sponsoring training that improves media literacy, and updating HR policy to protect and normalise queer identities. Simple moves , mentoring programmes, visibility for queer staff networks, and leadership signalling , help.</w:t>
      </w:r>
      <w:r/>
    </w:p>
    <w:p>
      <w:pPr>
        <w:pStyle w:val="Heading2"/>
      </w:pPr>
      <w:r>
        <w:t>Migration, sonhood and identity: masculinity gets reworked in urban life</w:t>
      </w:r>
      <w:r/>
    </w:p>
    <w:p>
      <w:r/>
      <w:r>
        <w:t>Studies of gay migrant men in urban China show masculinity and the role of “son” get reconfigured in interesting ways. Men negotiate family expectations and economic realities, inventing identity strategies that balance filial obligations with personal authenticity. For readers this humanises what can otherwise be abstract debates about culture: being a son, a worker and a queer person often involves small, creative adaptations rather than dramatic revolutions. That nuance matters when designing support services or community outreach.</w:t>
      </w:r>
      <w:r/>
    </w:p>
    <w:p>
      <w:pPr>
        <w:pStyle w:val="Heading2"/>
      </w:pPr>
      <w:r>
        <w:t>What this all means for Pride , and what you can do tomorrow</w:t>
      </w:r>
      <w:r/>
    </w:p>
    <w:p>
      <w:r/>
      <w:r>
        <w:t>These studies together sketch a practical roadmap: push for inclusive school and workplace policies, support media that offers complex queer characters, and don’t underestimate the power of everyday friendships to reduce prejudice. If you’re organising Pride plans, consider events that connect younger activists with allies in schools and businesses, and commission local media pieces that portray queer lives clearly and respectfully. Little changes in daily interactions add up to cultural shifts.</w:t>
      </w:r>
      <w:r/>
    </w:p>
    <w:p>
      <w:r/>
      <w:r>
        <w:t>It's a small change in what we say and who we include that can make every Pride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13">
        <w:r>
          <w:rPr>
            <w:color w:val="0000EE"/>
            <w:u w:val="single"/>
          </w:rPr>
          <w:t>[7]</w:t>
        </w:r>
      </w:hyperlink>
      <w:r>
        <w:t xml:space="preserve">, </w:t>
      </w:r>
      <w:hyperlink r:id="rId14">
        <w:r>
          <w:rPr>
            <w:color w:val="0000EE"/>
            <w:u w:val="single"/>
          </w:rPr>
          <w:t>[6]</w:t>
        </w:r>
      </w:hyperlink>
      <w:r>
        <w:t xml:space="preserve">- Paragraph 5: </w:t>
      </w:r>
      <w:hyperlink r:id="rId12">
        <w:r>
          <w:rPr>
            <w:color w:val="0000EE"/>
            <w:u w:val="single"/>
          </w:rPr>
          <w:t>[5]</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https://www.attitude.co.uk/life/international-pride-day-discrimination-remains-widespread-526997/</w:t>
        </w:r>
      </w:hyperlink>
      <w:r>
        <w:t xml:space="preserve"> - Please view link - unable to able to access data</w:t>
      </w:r>
      <w:r/>
    </w:p>
    <w:p>
      <w:pPr>
        <w:pStyle w:val="ListNumber"/>
        <w:spacing w:line="240" w:lineRule="auto"/>
        <w:ind w:left="720"/>
      </w:pPr>
      <w:r/>
      <w:hyperlink r:id="rId10">
        <w:r>
          <w:rPr>
            <w:color w:val="0000EE"/>
            <w:u w:val="single"/>
          </w:rPr>
          <w:t>https://www.hipatiapress.com/hpjournals/index.php/mcs/index</w:t>
        </w:r>
      </w:hyperlink>
      <w:r>
        <w:t xml:space="preserve"> - The Journal on Masculinities and Social Change (MCS) is an open-access, four-monthly publication by Hipatia Press. It aims to publish research that significantly contributes to understanding masculinities and their influence on social transformations. MCS welcomes interdisciplinary works related to masculinity studies and seeks to be a comprehensive and reliable source of information in this field. The journal accepts manuscripts in English, Spanish, Catalan, Euskera, and Galician, and operates under a double anonymous peer review process.</w:t>
      </w:r>
      <w:r/>
    </w:p>
    <w:p>
      <w:pPr>
        <w:pStyle w:val="ListNumber"/>
        <w:spacing w:line="240" w:lineRule="auto"/>
        <w:ind w:left="720"/>
      </w:pPr>
      <w:r/>
      <w:hyperlink r:id="rId11">
        <w:r>
          <w:rPr>
            <w:color w:val="0000EE"/>
            <w:u w:val="single"/>
          </w:rPr>
          <w:t>https://journals.sagepub.com/doi/10.1177/14407833211048241</w:t>
        </w:r>
      </w:hyperlink>
      <w:r>
        <w:t xml:space="preserve"> - This article, titled 'Social change and masculinities: Exploring favourable spaces?', discusses the challenges in understanding social change, particularly concerning gender inequality in Australian society. The authors aim to elaborate a framework regarding social change that engages with major debates in masculinity studies. They explore the potential of favourable spaces for social innovation by outlining a dynamic taxonomy of masculinity and change, located in a material social context involving specific actors.</w:t>
      </w:r>
      <w:r/>
    </w:p>
    <w:p>
      <w:pPr>
        <w:pStyle w:val="ListNumber"/>
        <w:spacing w:line="240" w:lineRule="auto"/>
        <w:ind w:left="720"/>
      </w:pPr>
      <w:r/>
      <w:hyperlink r:id="rId13">
        <w:r>
          <w:rPr>
            <w:color w:val="0000EE"/>
            <w:u w:val="single"/>
          </w:rPr>
          <w:t>https://journals.sagepub.com/doi/abs/10.1177/14407833211048241?af=R&amp;ai=1gvoi&amp;mi=3ricys</w:t>
        </w:r>
      </w:hyperlink>
      <w:r>
        <w:t xml:space="preserve"> - This article, titled 'Social change and masculinities: Exploring favourable spaces?', discusses the challenges in understanding social change, particularly concerning gender inequality in Australian society. The authors aim to elaborate a framework regarding social change that engages with major debates in masculinity studies. They explore the potential of favourable spaces for social innovation by outlining a dynamic taxonomy of masculinity and change, located in a material social context involving specific actors.</w:t>
      </w:r>
      <w:r/>
    </w:p>
    <w:p>
      <w:pPr>
        <w:pStyle w:val="ListNumber"/>
        <w:spacing w:line="240" w:lineRule="auto"/>
        <w:ind w:left="720"/>
      </w:pPr>
      <w:r/>
      <w:hyperlink r:id="rId12">
        <w:r>
          <w:rPr>
            <w:color w:val="0000EE"/>
            <w:u w:val="single"/>
          </w:rPr>
          <w:t>https://scispace.com/journals/masculinities-and-social-change-26radm1d</w:t>
        </w:r>
      </w:hyperlink>
      <w:r>
        <w:t xml:space="preserve"> - Masculinities and Social Change is an academic journal published by Hipatia Press. The journal focuses on topics such as masculinity, hegemonic masculinity, context (language use), narrative, and identity in social science. It has an ISSN identifier of 2014-3605 and is open access. Over its lifetime, the journal has published 155 articles, receiving 1,786 citations. The journal is also known as Masculinities and Social Change &amp; MCS.</w:t>
      </w:r>
      <w:r/>
    </w:p>
    <w:p>
      <w:pPr>
        <w:pStyle w:val="ListNumber"/>
        <w:spacing w:line="240" w:lineRule="auto"/>
        <w:ind w:left="720"/>
      </w:pPr>
      <w:r/>
      <w:hyperlink r:id="rId14">
        <w:r>
          <w:rPr>
            <w:color w:val="0000EE"/>
            <w:u w:val="single"/>
          </w:rPr>
          <w:t>https://journalsimpactfactors.com/journal.php?id=15246</w:t>
        </w:r>
      </w:hyperlink>
      <w:r>
        <w:t xml:space="preserve"> - MCS-Masculinities and Social Change is a journal published by Hipatia Press. As of 2024, it has an impact factor of 0.500 and a 5-year JIF of 0.800. The journal has a total of 12 articles and 144 citations. The citing half-life is 10.5 years, and the journal is ranked 172 out of 219 in its JIF quartile (Q4).</w:t>
      </w:r>
      <w:r/>
    </w:p>
    <w:p>
      <w:pPr>
        <w:pStyle w:val="ListNumber"/>
        <w:spacing w:line="240" w:lineRule="auto"/>
        <w:ind w:left="720"/>
      </w:pPr>
      <w:r/>
      <w:hyperlink r:id="rId13">
        <w:r>
          <w:rPr>
            <w:color w:val="0000EE"/>
            <w:u w:val="single"/>
          </w:rPr>
          <w:t>https://journals.sagepub.com/doi/abs/10.1177/14407833211048241?af=R&amp;ai=1gvoi&amp;mi=3ricys</w:t>
        </w:r>
      </w:hyperlink>
      <w:r>
        <w:t xml:space="preserve"> - This article, titled 'Social change and masculinities: Exploring favourable spaces?', discusses the challenges in understanding social change, particularly concerning gender inequality in Australian society. The authors aim to elaborate a framework regarding social change that engages with major debates in masculinity studies. They explore the potential of favourable spaces for social innovation by outlining a dynamic taxonomy of masculinity and change, located in a material social context involving specific actors.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international-pride-day-discrimination-remains-widespread-526997/" TargetMode="External"/><Relationship Id="rId10" Type="http://schemas.openxmlformats.org/officeDocument/2006/relationships/hyperlink" Target="https://www.hipatiapress.com/hpjournals/index.php/mcs/index" TargetMode="External"/><Relationship Id="rId11" Type="http://schemas.openxmlformats.org/officeDocument/2006/relationships/hyperlink" Target="https://journals.sagepub.com/doi/10.1177/14407833211048241" TargetMode="External"/><Relationship Id="rId12" Type="http://schemas.openxmlformats.org/officeDocument/2006/relationships/hyperlink" Target="https://scispace.com/journals/masculinities-and-social-change-26radm1d" TargetMode="External"/><Relationship Id="rId13" Type="http://schemas.openxmlformats.org/officeDocument/2006/relationships/hyperlink" Target="https://journals.sagepub.com/doi/abs/10.1177/14407833211048241?af=R&amp;ai=1gvoi&amp;mi=3ricys" TargetMode="External"/><Relationship Id="rId14" Type="http://schemas.openxmlformats.org/officeDocument/2006/relationships/hyperlink" Target="https://journalsimpactfactors.com/journal.php?id=152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