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Search Insights on LGBTQ+ Sexual Health in the Philippines: What 2026 Data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seekers are quietly reshaping the conversation , new search data shows Filipinos asking urgent, specific questions about gender and queer sex while schools, law and health services lag behind, and that gap matters for public health and daily life.</w:t>
      </w:r>
      <w:r/>
    </w:p>
    <w:p>
      <w:r/>
      <w:r>
        <w:t>Essential Takeaways</w:t>
      </w:r>
      <w:r/>
      <w:r/>
    </w:p>
    <w:p>
      <w:pPr>
        <w:pStyle w:val="ListBullet"/>
        <w:spacing w:line="240" w:lineRule="auto"/>
        <w:ind w:left="720"/>
      </w:pPr>
      <w:r/>
      <w:r>
        <w:rPr>
          <w:b/>
        </w:rPr>
        <w:t>Massive curiosity:</w:t>
      </w:r>
      <w:r>
        <w:t xml:space="preserve"> Filipinos rank second globally for monthly searches on “gender identity,” signalling deep, ongoing questioning beyond Pride-season interest. </w:t>
      </w:r>
      <w:r/>
    </w:p>
    <w:p>
      <w:pPr>
        <w:pStyle w:val="ListBullet"/>
        <w:spacing w:line="240" w:lineRule="auto"/>
        <w:ind w:left="720"/>
      </w:pPr>
      <w:r/>
      <w:r>
        <w:rPr>
          <w:b/>
        </w:rPr>
        <w:t>Commerce gap:</w:t>
      </w:r>
      <w:r>
        <w:t xml:space="preserve"> There’s roughly a 300-to-1 imbalance between searches for queer sex information and searches for queer sexual-wellness products, pointing to an access problem, not a lack of demand. </w:t>
      </w:r>
      <w:r/>
    </w:p>
    <w:p>
      <w:pPr>
        <w:pStyle w:val="ListBullet"/>
        <w:spacing w:line="240" w:lineRule="auto"/>
        <w:ind w:left="720"/>
      </w:pPr>
      <w:r/>
      <w:r>
        <w:rPr>
          <w:b/>
        </w:rPr>
        <w:t>Local language shift:</w:t>
      </w:r>
      <w:r>
        <w:t xml:space="preserve"> Searches for local identity terms like “silahis” and “tomboy” are rising, so culturally tailored services are becoming more relevant. </w:t>
      </w:r>
      <w:r/>
    </w:p>
    <w:p>
      <w:pPr>
        <w:pStyle w:val="ListBullet"/>
        <w:spacing w:line="240" w:lineRule="auto"/>
        <w:ind w:left="720"/>
      </w:pPr>
      <w:r/>
      <w:r>
        <w:rPr>
          <w:b/>
        </w:rPr>
        <w:t>Education shortfall:</w:t>
      </w:r>
      <w:r>
        <w:t xml:space="preserve"> Online searches for “sex education Philippines” have plunged, coinciding with official admissions of gaps in the school curriculum. </w:t>
      </w:r>
      <w:r/>
    </w:p>
    <w:p>
      <w:pPr>
        <w:pStyle w:val="ListBullet"/>
        <w:spacing w:line="240" w:lineRule="auto"/>
        <w:ind w:left="720"/>
      </w:pPr>
      <w:r/>
      <w:r>
        <w:rPr>
          <w:b/>
        </w:rPr>
        <w:t>Retail stepping in:</w:t>
      </w:r>
      <w:r>
        <w:t xml:space="preserve"> Independent retailers are increasingly trusted sources for information and products, offering discreet access where institutions fall short.</w:t>
      </w:r>
      <w:r/>
      <w:r/>
    </w:p>
    <w:p>
      <w:pPr>
        <w:pStyle w:val="Heading2"/>
      </w:pPr>
      <w:r>
        <w:t>Why search data matters: a quiet alarm bell for health services</w:t>
      </w:r>
      <w:r/>
    </w:p>
    <w:p>
      <w:r/>
      <w:r>
        <w:t>Searches are private, cheap and revealing; they’re the things people type when they can’t ask a trusted adult or a clinic. The new analysis from a local sexual-wellness retailer found huge, steady search volumes for gender identity and queer-sex topics, even as interest in Pride events dips. That quiet persistence is a strong hint that people are seeking ongoing answers, not novelty.</w:t>
      </w:r>
      <w:r/>
    </w:p>
    <w:p>
      <w:r/>
      <w:r>
        <w:t>When the public turns to search instead of services, it usually means services are inaccessible, unwelcoming, or absent. According to observers quoted in the coverage, that creates real risk: unverified content, self-treatment, or delayed care. For anyone working in public health, Google trends are an early-warning system.</w:t>
      </w:r>
      <w:r/>
    </w:p>
    <w:p>
      <w:pPr>
        <w:pStyle w:val="Heading2"/>
      </w:pPr>
      <w:r>
        <w:t>The institutional gap: laws, schools and clinics aren’t keeping pace</w:t>
      </w:r>
      <w:r/>
    </w:p>
    <w:p>
      <w:r/>
      <w:r>
        <w:t>The data sits against a backdrop of policy stalemate and patchy service provision. Legislative attempts at SOGIE protections have stalled for decades, and major actors in education have acknowledged implementation problems with sexuality curricula. Meanwhile, legal gender recognition and equal treatment remain uneven across offices and regions.</w:t>
      </w:r>
      <w:r/>
    </w:p>
    <w:p>
      <w:r/>
      <w:r>
        <w:t>That mixture , high private demand, low institutional response , drives the pattern we see. If clinics and schools can’t meet needs, community spaces and retailers will. But they aren’t a substitute for trained providers, legal protection, or consistent school-based sex education.</w:t>
      </w:r>
      <w:r/>
    </w:p>
    <w:p>
      <w:pPr>
        <w:pStyle w:val="Heading2"/>
      </w:pPr>
      <w:r>
        <w:t>What the commerce gap reveals: people want products and guidance</w:t>
      </w:r>
      <w:r/>
    </w:p>
    <w:p>
      <w:r/>
      <w:r>
        <w:t>There’s an eye-catching 300-to-1 “commerce gap”: far more searches for queer sex topics than for sexual-wellness products aimed at queer people. That suggests products either aren’t visible, aren’t marketed in culturally relevant ways, or shoppers don’t trust commercial channels to be discreet and affirming.</w:t>
      </w:r>
      <w:r/>
    </w:p>
    <w:p>
      <w:r/>
      <w:r>
        <w:t>Small retail chains and specialist shops report customers using them as information hubs. For consumers, that means looking for sellers who combine privacy, accurate info and good customer care. For policymakers, it signals a missed opportunity to make safe, regulated options visible and affordable.</w:t>
      </w:r>
      <w:r/>
    </w:p>
    <w:p>
      <w:pPr>
        <w:pStyle w:val="Heading2"/>
      </w:pPr>
      <w:r>
        <w:t>Language matters: local terms are on the rise , so should culturally competent care</w:t>
      </w:r>
      <w:r/>
    </w:p>
    <w:p>
      <w:r/>
      <w:r>
        <w:t>Search behaviour is shifting from imported LGBTQ+ terms to words used inside Filipino communities. Terms like “silahis” and “tomboy” are rising, which matters beyond semantics. Health promotion that doesn’t speak the same linguistic or cultural register risks being ignored, misunderstood or rejected.</w:t>
      </w:r>
      <w:r/>
    </w:p>
    <w:p>
      <w:r/>
      <w:r>
        <w:t>Practically, clinics and outreach programmes should audit the language they use and test messages with community members. For brands and services, mirror community vocabulary and tone; for advocates, push for training that recognises local identities and expressions.</w:t>
      </w:r>
      <w:r/>
    </w:p>
    <w:p>
      <w:pPr>
        <w:pStyle w:val="Heading2"/>
      </w:pPr>
      <w:r>
        <w:t>What people can do now: tips for seekers and service providers</w:t>
      </w:r>
      <w:r/>
    </w:p>
    <w:p>
      <w:r/>
      <w:r>
        <w:t>If you’re seeking answers: favour sources that cite health professionals, look for privacy-first shopping options, and ask about return or confidentiality policies before buying intimate products. If you’re a parent or educator: gently direct young people to verified resources and encourage conversations rather than panic. If you run a clinic or NGO: monitor search trends as part of needs assessment, and adapt materials to local terms and common queries.</w:t>
      </w:r>
      <w:r/>
    </w:p>
    <w:p>
      <w:r/>
      <w:r>
        <w:t>For policymakers and funders, the takeaway is clear: search trends are data. When millions of private searches show unmet need, that’s a case for funding community-led outreach, clearer law, and better sex-ed implementation.</w:t>
      </w:r>
      <w:r/>
    </w:p>
    <w:p>
      <w:r/>
      <w:r>
        <w:t>It's a small change , speaking in the same language as the people who need care , that can make every answer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https://starmometer.com/new-search-data-reveals-a-silent-lgbtq-sexual-health-crisis-in-the-philippines/</w:t>
        </w:r>
      </w:hyperlink>
      <w:r>
        <w:t xml:space="preserve"> - Please view link - unable to able to access data</w:t>
      </w:r>
      <w:r/>
    </w:p>
    <w:p>
      <w:pPr>
        <w:pStyle w:val="ListNumber"/>
        <w:spacing w:line="240" w:lineRule="auto"/>
        <w:ind w:left="720"/>
      </w:pPr>
      <w:r/>
      <w:hyperlink r:id="rId10">
        <w:r>
          <w:rPr>
            <w:color w:val="0000EE"/>
            <w:u w:val="single"/>
          </w:rPr>
          <w:t>https://www.philstar.com/headlines/2026/06/25/2537664/sharmaine-bill-filed-trans-pinoys/amp/</w:t>
        </w:r>
      </w:hyperlink>
      <w:r>
        <w:t xml:space="preserve"> - The 'Sharmaine' bill, officially known as the Lived Identities and Recognition Act, has been filed in the Philippine Congress to allow transgender, intersex, and non-binary individuals to change their legal documents without lengthy court proceedings. This legislation aims to address the challenges faced by these communities in obtaining legal recognition of their gender identity, thereby reducing discrimination and enhancing their safety and well-being. The bill is supported by various lawmakers, including Akbayan Representatives Perci Cendaña, Chel Diokno, Dadah Kiram Ismula, and Dinagat Islands Representative Kaka Bag-ao.</w:t>
      </w:r>
      <w:r/>
    </w:p>
    <w:p>
      <w:pPr>
        <w:pStyle w:val="ListNumber"/>
        <w:spacing w:line="240" w:lineRule="auto"/>
        <w:ind w:left="720"/>
      </w:pPr>
      <w:r/>
      <w:hyperlink r:id="rId12">
        <w:r>
          <w:rPr>
            <w:color w:val="0000EE"/>
            <w:u w:val="single"/>
          </w:rPr>
          <w:t>https://www.hrw.org/news/2026/02/17/philippine-supreme-court-grants-property-rights-same-sex-couples</w:t>
        </w:r>
      </w:hyperlink>
      <w:r>
        <w:t xml:space="preserve"> - In a landmark decision, the Philippine Supreme Court ruled that cohabiting same-sex partners have co-ownership rights to property acquired during their relationship. This ruling acknowledges the contributions of both partners in acquiring and renovating property, even if the title is under one partner's name. The case involved a lesbian couple who faced disputes over property ownership after their separation, highlighting the need for legal recognition of same-sex relationships in property matters.</w:t>
      </w:r>
      <w:r/>
    </w:p>
    <w:p>
      <w:pPr>
        <w:pStyle w:val="ListNumber"/>
        <w:spacing w:line="240" w:lineRule="auto"/>
        <w:ind w:left="720"/>
      </w:pPr>
      <w:r/>
      <w:hyperlink r:id="rId11">
        <w:r>
          <w:rPr>
            <w:color w:val="0000EE"/>
            <w:u w:val="single"/>
          </w:rPr>
          <w:t>https://www.pia.gov.ph/news/rainbow-care-caravan-returns-to-offer-health-govt-services-to-older-lgbtq-adults/</w:t>
        </w:r>
      </w:hyperlink>
      <w:r>
        <w:t xml:space="preserve"> - The Philippine Information Agency-National Capital Region is reintroducing the Rainbow Care Caravan, a programme aimed at providing health and government services to LGBTQIA+ Filipinos aged 30 and older. Initially launched in 2024 as a small initiative, the programme has expanded significantly due to overwhelming support. The 2026 edition focuses on honouring the contributions of LGBTQIA+ senior citizens and those who are not openly expressing their gender identity, by bringing essential services directly to them.</w:t>
      </w:r>
      <w:r/>
    </w:p>
    <w:p>
      <w:pPr>
        <w:pStyle w:val="ListNumber"/>
        <w:spacing w:line="240" w:lineRule="auto"/>
        <w:ind w:left="720"/>
      </w:pPr>
      <w:r/>
      <w:hyperlink r:id="rId13">
        <w:r>
          <w:rPr>
            <w:color w:val="0000EE"/>
            <w:u w:val="single"/>
          </w:rPr>
          <w:t>https://chr.gov.ph/pride-without-prejudice-chr-calls-for-stronger-protection-of-lgbtqia-rights/</w:t>
        </w:r>
      </w:hyperlink>
      <w:r>
        <w:t xml:space="preserve"> - The Commission on Human Rights (CHR) of the Philippines has called for stronger protection of LGBTQIA+ rights in celebration of Pride Month 2026. The CHR emphasised the importance of recognising and respecting the rights of individuals regardless of their sexual orientation, gender identity, gender expression, or sex characteristics. The statement highlights the progress made by various institutions in adopting gender-inclusive policies and practices, while also acknowledging the need for continued efforts to ensure equal treatment and protection for the LGBTQIA+ community.</w:t>
      </w:r>
      <w:r/>
    </w:p>
    <w:p>
      <w:pPr>
        <w:pStyle w:val="ListNumber"/>
        <w:spacing w:line="240" w:lineRule="auto"/>
        <w:ind w:left="720"/>
      </w:pPr>
      <w:r/>
      <w:hyperlink r:id="rId14">
        <w:r>
          <w:rPr>
            <w:color w:val="0000EE"/>
            <w:u w:val="single"/>
          </w:rPr>
          <w:t>https://www.gmanetwork.com/news/lifestyle/content/991117/can-transgender-filipinos-legally-change-their-names/story/</w:t>
        </w:r>
      </w:hyperlink>
      <w:r>
        <w:t xml:space="preserve"> - Transgender Filipinos face challenges in legally changing their names due to the absence of specific laws recognising gender identity in official documents. While they can petition to change their first names, this cannot be based solely on gender transition or sex reassignment. Legal experts highlight the need for legislative reforms to allow transgender individuals to align their legal documents with their gender identity, thereby affirming their dignity and safeguarding their security.</w:t>
      </w:r>
      <w:r/>
    </w:p>
    <w:p>
      <w:pPr>
        <w:pStyle w:val="ListNumber"/>
        <w:spacing w:line="240" w:lineRule="auto"/>
        <w:ind w:left="720"/>
      </w:pPr>
      <w:r/>
      <w:hyperlink r:id="rId15">
        <w:r>
          <w:rPr>
            <w:color w:val="0000EE"/>
            <w:u w:val="single"/>
          </w:rPr>
          <w:t>https://www.bulatlat.org/2026/06/22/rights-up-legal-gender-recognition-upholds-rights-of-transgender-non-binary-people/</w:t>
        </w:r>
      </w:hyperlink>
      <w:r>
        <w:t xml:space="preserve"> - The article discusses the absence of legal gender recognition (LGR) laws in the Philippines, which prevents transgender and non-binary individuals from legally changing their sex or gender marker on official documents. This lack of recognition affects their access to legal safeguards and social services, leading to mismatched identification records that hinder their rights to decent work, mobility, and social services. The piece underscores the need for legislative action to uphold the rights of transgender and non-binary people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armometer.com/new-search-data-reveals-a-silent-lgbtq-sexual-health-crisis-in-the-philippines/" TargetMode="External"/><Relationship Id="rId10" Type="http://schemas.openxmlformats.org/officeDocument/2006/relationships/hyperlink" Target="https://www.philstar.com/headlines/2026/06/25/2537664/sharmaine-bill-filed-trans-pinoys/amp/" TargetMode="External"/><Relationship Id="rId11" Type="http://schemas.openxmlformats.org/officeDocument/2006/relationships/hyperlink" Target="https://www.pia.gov.ph/news/rainbow-care-caravan-returns-to-offer-health-govt-services-to-older-lgbtq-adults/" TargetMode="External"/><Relationship Id="rId12" Type="http://schemas.openxmlformats.org/officeDocument/2006/relationships/hyperlink" Target="https://www.hrw.org/news/2026/02/17/philippine-supreme-court-grants-property-rights-same-sex-couples" TargetMode="External"/><Relationship Id="rId13" Type="http://schemas.openxmlformats.org/officeDocument/2006/relationships/hyperlink" Target="https://chr.gov.ph/pride-without-prejudice-chr-calls-for-stronger-protection-of-lgbtqia-rights/" TargetMode="External"/><Relationship Id="rId14" Type="http://schemas.openxmlformats.org/officeDocument/2006/relationships/hyperlink" Target="https://www.gmanetwork.com/news/lifestyle/content/991117/can-transgender-filipinos-legally-change-their-names/story/" TargetMode="External"/><Relationship Id="rId15" Type="http://schemas.openxmlformats.org/officeDocument/2006/relationships/hyperlink" Target="https://www.bulatlat.org/2026/06/22/rights-up-legal-gender-recognition-upholds-rights-of-transgender-non-binary-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