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 How Ugra and Ismat Chughtai Shaped Queer Literature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rediscovering how early 20th-century writers forced India to confront desire; here’s why Ugra and Ismat Chughtai still matter, what they wrote that scandalised readers, and how those controversies echo in today’s debates about Section 377 and queer visibility.</w:t>
      </w:r>
      <w:r/>
    </w:p>
    <w:p>
      <w:r/>
      <w:r>
        <w:t>Essential Takeaways</w:t>
      </w:r>
      <w:r/>
      <w:r/>
    </w:p>
    <w:p>
      <w:pPr>
        <w:pStyle w:val="ListBullet"/>
        <w:spacing w:line="240" w:lineRule="auto"/>
        <w:ind w:left="720"/>
      </w:pPr>
      <w:r/>
      <w:r>
        <w:rPr>
          <w:b/>
        </w:rPr>
        <w:t>Historic laws matter:</w:t>
      </w:r>
      <w:r>
        <w:t xml:space="preserve"> Section 377, introduced under British rule, criminalised sexual acts and helped shape attitudes that labelled same-sex desire as deviant.</w:t>
      </w:r>
      <w:r/>
    </w:p>
    <w:p>
      <w:pPr>
        <w:pStyle w:val="ListBullet"/>
        <w:spacing w:line="240" w:lineRule="auto"/>
        <w:ind w:left="720"/>
      </w:pPr>
      <w:r/>
      <w:r>
        <w:rPr>
          <w:b/>
        </w:rPr>
        <w:t>Chughtai’s quiet shock:</w:t>
      </w:r>
      <w:r>
        <w:t xml:space="preserve"> “Lihaaf” used suggestion rather than explicit description, producing courtroom drama and public outrage while keeping its language legally unassailable.</w:t>
      </w:r>
      <w:r/>
    </w:p>
    <w:p>
      <w:pPr>
        <w:pStyle w:val="ListBullet"/>
        <w:spacing w:line="240" w:lineRule="auto"/>
        <w:ind w:left="720"/>
      </w:pPr>
      <w:r/>
      <w:r>
        <w:rPr>
          <w:b/>
        </w:rPr>
        <w:t>Ugra’s bluntness:</w:t>
      </w:r>
      <w:r>
        <w:t xml:space="preserve"> Pandey Bechan Sharma’s stories put male homoerotic desire into public view, mixing satire, romance conventions and social critique.</w:t>
      </w:r>
      <w:r/>
    </w:p>
    <w:p>
      <w:pPr>
        <w:pStyle w:val="ListBullet"/>
        <w:spacing w:line="240" w:lineRule="auto"/>
        <w:ind w:left="720"/>
      </w:pPr>
      <w:r/>
      <w:r>
        <w:rPr>
          <w:b/>
        </w:rPr>
        <w:t>Ongoing echoes:</w:t>
      </w:r>
      <w:r>
        <w:t xml:space="preserve"> The mid-20th-century moral panic around “boy worship” and degeneration still colours conversations about consent, protection and queer visibility.</w:t>
      </w:r>
      <w:r/>
    </w:p>
    <w:p>
      <w:pPr>
        <w:pStyle w:val="ListBullet"/>
        <w:spacing w:line="240" w:lineRule="auto"/>
        <w:ind w:left="720"/>
      </w:pPr>
      <w:r/>
      <w:r>
        <w:rPr>
          <w:b/>
        </w:rPr>
        <w:t>Practical angle:</w:t>
      </w:r>
      <w:r>
        <w:t xml:space="preserve"> Knowing this literary past helps readers distinguish between moral panic and legitimate child-protection concerns when discussing historical texts.</w:t>
      </w:r>
      <w:r/>
      <w:r/>
    </w:p>
    <w:p>
      <w:pPr>
        <w:pStyle w:val="Heading2"/>
      </w:pPr>
      <w:r>
        <w:t>Why Section 377 looms over literature about desire</w:t>
      </w:r>
      <w:r/>
    </w:p>
    <w:p>
      <w:r/>
      <w:r>
        <w:t>Readers notice the chill immediately: a law that labelled certain acts “against the order of nature” changes how a whole society thinks about bodies and intimacy, and that ripples into words on the page. British legal and moral frameworks around sexuality were imported into India, and that created a culture where writers who hinted at non-normative desire ran real risk. According to public records and historical accounts, Section 377 cast a long shadow, turning sexual difference into criminal difference, which made transgressive writing feel like an act of political provocation as much as an artistic one.</w:t>
      </w:r>
      <w:r/>
    </w:p>
    <w:p>
      <w:r/>
      <w:r>
        <w:t>That legal backdrop helps explain why Chughtai’s quilt could hide so much yet still inflame the public. It’s easier to understand the fury when you remember the stakes: law, reputation and often personal safety. And when later courts and public debates revisited the law, voices from literature helped shape how people thought about privacy and dignity.</w:t>
      </w:r>
      <w:r/>
    </w:p>
    <w:p>
      <w:pPr>
        <w:pStyle w:val="Heading2"/>
      </w:pPr>
      <w:r>
        <w:t>The craft of silence: what made “Lihaaf” so subversive</w:t>
      </w:r>
      <w:r/>
    </w:p>
    <w:p>
      <w:r/>
      <w:r>
        <w:t>Chughtai’s story is quietly electric. She wrote around acts rather than into them, and that economy of detail proved dangerous in a moral climate that read implication as intent. The narrator’s childlike incomprehension acts as a clever filter; the reader is invited to construct meaning from tremors under a quilt. That technique sidestepped explicit language , which is why, historically, a court eventually found no obscene words to prosecute , but it did not blunt the social blowback.</w:t>
      </w:r>
      <w:r/>
    </w:p>
    <w:p>
      <w:r/>
      <w:r>
        <w:t>The reaction also shows how gendered assumptions worked: Chughtai’s portrayal of female same-sex desire as a refuge from male neglect read to many as scandalous and, to some, threatening. Yet the story also reveals authorial ambivalence about labels; Chughtai resisted being put into a boxed identity because society had already boxed her characters.</w:t>
      </w:r>
      <w:r/>
    </w:p>
    <w:p>
      <w:pPr>
        <w:pStyle w:val="Heading2"/>
      </w:pPr>
      <w:r>
        <w:t>Ugra’s directness and the paradox of public condemnation</w:t>
      </w:r>
      <w:r/>
    </w:p>
    <w:p>
      <w:r/>
      <w:r>
        <w:t>Pandey Bechan Sharma, writing under the name Ugra, chose a different register: he named feelings, staged longing and often put male lovers in plain sight. His stories gave a vocabulary to same-sex attraction in Hindi fiction and used satire to expose hypocrisy. That directness invited both accusations of indecency and a begrudging engagement with the ideas he raised.</w:t>
      </w:r>
      <w:r/>
    </w:p>
    <w:p>
      <w:r/>
      <w:r>
        <w:t>Critics of his time called this “ghasleti” literature , a slur for anything seen as sensational , and the press and public discourse treated his work as symptomatic of moral decline. Yet Ugra’s own narrative tools often mirrored the homophobic language of the narrators, which allowed him to highlight contradiction: those who thundered against “boy worship” sometimes revealed their anxieties more than they revealed any moral high ground.</w:t>
      </w:r>
      <w:r/>
    </w:p>
    <w:p>
      <w:pPr>
        <w:pStyle w:val="Heading2"/>
      </w:pPr>
      <w:r>
        <w:t>Distinguishing literary portrayal from child-protection concerns</w:t>
      </w:r>
      <w:r/>
    </w:p>
    <w:p>
      <w:r/>
      <w:r>
        <w:t>When you read Ugra’s stories today, a difficult question arises: how do we separate historical contexts of youthful marriage and attraction from contemporary concerns about consent and abuse? It’s tempting to stamp modern categories onto older texts, but context matters. Many commentators note that early 20th-century norms around age and marriage differ sharply from today’s legal and ethical frameworks.</w:t>
      </w:r>
      <w:r/>
    </w:p>
    <w:p>
      <w:r/>
      <w:r>
        <w:t>That said, readers and scholars must remain vigilant. Celebrating literary daring is not the same as excusing exploitative behaviour. A balanced view recognises that historical portrayals reflect their times, and that modern readers can critique the power dynamics those portrayals sometimes normalise while still valuing the texts’ role in bringing queer desire into conversation.</w:t>
      </w:r>
      <w:r/>
    </w:p>
    <w:p>
      <w:pPr>
        <w:pStyle w:val="Heading2"/>
      </w:pPr>
      <w:r>
        <w:t>What this literary history means for today’s conversations</w:t>
      </w:r>
      <w:r/>
    </w:p>
    <w:p>
      <w:r/>
      <w:r>
        <w:t>The controversies around Chughtai and Ugra are not merely antiquarian. They map how shame, law and nation-building have intertwined to police desire. As India debated and finally changed the legal status of same-sex relations in the 21st century, those earlier literary fights provided a lineage of dissent and exposure. Contemporary milestones in legal reform and public discourse didn’t emerge from nowhere; they drew on a long, uneasy history of writers forcing private longings into public view.</w:t>
      </w:r>
      <w:r/>
    </w:p>
    <w:p>
      <w:r/>
      <w:r>
        <w:t>For readers, the practical takeaway is simple: reading these works with historical knowledge makes them richer. You can admire craft, feel the sting of the backlash, and also trace how old anxieties persist in new forms , in family counselling, in sensational headlines, or in debates about marriage and rights.</w:t>
      </w:r>
      <w:r/>
    </w:p>
    <w:p>
      <w:r/>
      <w:r>
        <w:t>It's a small shift in perspective that makes both the stories and their consequences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2">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https://frontline.thehindu.com/books/queer-literature-india-ugra-chughtai-same-sex-love/article71132816.ece</w:t>
        </w:r>
      </w:hyperlink>
      <w:r>
        <w:t xml:space="preserve"> - Please view link - unable to able to access data</w:t>
      </w:r>
      <w:r/>
    </w:p>
    <w:p>
      <w:pPr>
        <w:pStyle w:val="ListNumber"/>
        <w:spacing w:line="240" w:lineRule="auto"/>
        <w:ind w:left="720"/>
      </w:pPr>
      <w:r/>
      <w:hyperlink r:id="rId10">
        <w:r>
          <w:rPr>
            <w:color w:val="0000EE"/>
            <w:u w:val="single"/>
          </w:rPr>
          <w:t>https://en.wikipedia.org/wiki/Section_377</w:t>
        </w:r>
      </w:hyperlink>
      <w:r>
        <w:t xml:space="preserve"> - Section 377 of the Indian Penal Code, introduced in 1860 during British colonial rule, criminalised sexual acts 'against the order of nature', including same-sex relations. This law was part of the Indian Penal Code drafted by Thomas Babington Macaulay, aiming to impose Victorian moral standards on the colonies. The law remained in effect until its partial decriminalisation in 2018, when the Supreme Court of India ruled that consensual same-sex acts between adults were no longer criminal offences. The full repeal of Section 377 occurred in 2024 with the enactment of the Bharatiya Nyaya Sanhita, replacing the Indian Penal Code. (</w:t>
      </w:r>
      <w:hyperlink r:id="rId16">
        <w:r>
          <w:rPr>
            <w:color w:val="0000EE"/>
            <w:u w:val="single"/>
          </w:rPr>
          <w:t>en.wikipedia.org</w:t>
        </w:r>
      </w:hyperlink>
      <w:r>
        <w:t>)</w:t>
      </w:r>
      <w:r/>
    </w:p>
    <w:p>
      <w:pPr>
        <w:pStyle w:val="ListNumber"/>
        <w:spacing w:line="240" w:lineRule="auto"/>
        <w:ind w:left="720"/>
      </w:pPr>
      <w:r/>
      <w:hyperlink r:id="rId12">
        <w:r>
          <w:rPr>
            <w:color w:val="0000EE"/>
            <w:u w:val="single"/>
          </w:rPr>
          <w:t>https://en.wikipedia.org/wiki/Lihaaf</w:t>
        </w:r>
      </w:hyperlink>
      <w:r>
        <w:t xml:space="preserve"> - Ismat Chughtai's 1942 short story 'Lihaaf' ('The Quilt') was published in the Urdu literary journal Adab-i-Latif. The narrative, told from the perspective of a young girl, subtly explores themes of female same-sex desire and the oppressive conditions of a neglected wife in a feudal society. Upon publication, 'Lihaaf' faced significant controversy and led to an obscenity trial, where Chughtai defended her work, and the case was dismissed due to lack of evidence. The story is now considered a landmark in Indian literature for its candid portrayal of taboo subjects. (</w:t>
      </w:r>
      <w:hyperlink r:id="rId17">
        <w:r>
          <w:rPr>
            <w:color w:val="0000EE"/>
            <w:u w:val="single"/>
          </w:rPr>
          <w:t>en.wikipedia.org</w:t>
        </w:r>
      </w:hyperlink>
      <w:r>
        <w:t>)</w:t>
      </w:r>
      <w:r/>
    </w:p>
    <w:p>
      <w:pPr>
        <w:pStyle w:val="ListNumber"/>
        <w:spacing w:line="240" w:lineRule="auto"/>
        <w:ind w:left="720"/>
      </w:pPr>
      <w:r/>
      <w:hyperlink r:id="rId13">
        <w:r>
          <w:rPr>
            <w:color w:val="0000EE"/>
            <w:u w:val="single"/>
          </w:rPr>
          <w:t>https://en.wikipedia.org/wiki/Ismat_Chughtai</w:t>
        </w:r>
      </w:hyperlink>
      <w:r>
        <w:t xml:space="preserve"> - Ismat Chughtai (1915–1991) was a prominent Urdu writer known for her bold and progressive narratives. Her 1942 short story 'Lihaaf' ('The Quilt') became one of her most celebrated and controversial works, leading to an obscenity trial. Chughtai's writing often addressed themes of female sexuality, social norms, and the complexities of human relationships, challenging the conservative literary and social landscapes of her time. Her contributions have been recognised posthumously, with adaptations of her works, such as the 2019 film 'Lihaaf: The Quilt', bringing her stories to a broader audience. (</w:t>
      </w:r>
      <w:hyperlink r:id="rId18">
        <w:r>
          <w:rPr>
            <w:color w:val="0000EE"/>
            <w:u w:val="single"/>
          </w:rPr>
          <w:t>en.wikipedia.org</w:t>
        </w:r>
      </w:hyperlink>
      <w:r>
        <w:t>)</w:t>
      </w:r>
      <w:r/>
    </w:p>
    <w:p>
      <w:pPr>
        <w:pStyle w:val="ListNumber"/>
        <w:spacing w:line="240" w:lineRule="auto"/>
        <w:ind w:left="720"/>
      </w:pPr>
      <w:r/>
      <w:hyperlink r:id="rId14">
        <w:r>
          <w:rPr>
            <w:color w:val="0000EE"/>
            <w:u w:val="single"/>
          </w:rPr>
          <w:t>https://www.newindianexpress.com/entertainment/hindi/2018/may/16/first-look-of-film-based-on-writer-ismat-chughtais-lihaaf-released-at-cannes-1815500.html</w:t>
        </w:r>
      </w:hyperlink>
      <w:r>
        <w:t xml:space="preserve"> - In May 2018, the first poster of the film adaptation of Ismat Chughtai's 'Lihaaf' ('The Quilt') was unveiled at the Cannes Film Festival. Directed by Rahat Kazmi, the film stars Tannishtha Chatterjee and Sonal Sehgal. Set in Lucknow, the story revolves around Begum Jaan, a lonely woman who seeks companionship from her masseuse, Rabbo. The film adaptation brings Chughtai's controversial and celebrated work to the screen, highlighting themes of same-sex desire and societal repression. (</w:t>
      </w:r>
      <w:hyperlink r:id="rId19">
        <w:r>
          <w:rPr>
            <w:color w:val="0000EE"/>
            <w:u w:val="single"/>
          </w:rPr>
          <w:t>newindianexpress.com</w:t>
        </w:r>
      </w:hyperlink>
      <w:r>
        <w:t>)</w:t>
      </w:r>
      <w:r/>
    </w:p>
    <w:p>
      <w:pPr>
        <w:pStyle w:val="ListNumber"/>
        <w:spacing w:line="240" w:lineRule="auto"/>
        <w:ind w:left="720"/>
      </w:pPr>
      <w:r/>
      <w:hyperlink r:id="rId11">
        <w:r>
          <w:rPr>
            <w:color w:val="0000EE"/>
            <w:u w:val="single"/>
          </w:rPr>
          <w:t>https://www.axios.com/2018/09/06/india-supreme-court-legalizes-gay-sex</w:t>
        </w:r>
      </w:hyperlink>
      <w:r>
        <w:t xml:space="preserve"> - In September 2018, India's Supreme Court decriminalised gay sex by overturning Section 377, a colonial-era law that deemed it an 'unnatural offence' carrying a potential 10-year prison sentence. Chief Justice Dipak Misra stated that such a law was 'irrational, arbitrary, and manifestly unconstitutional.' This unanimous decision marked a significant step towards equality and the protection of LGBTQ rights in India. (</w:t>
      </w:r>
      <w:hyperlink r:id="rId20">
        <w:r>
          <w:rPr>
            <w:color w:val="0000EE"/>
            <w:u w:val="single"/>
          </w:rPr>
          <w:t>axios.com</w:t>
        </w:r>
      </w:hyperlink>
      <w:r>
        <w:t>)</w:t>
      </w:r>
      <w:r/>
    </w:p>
    <w:p>
      <w:pPr>
        <w:pStyle w:val="ListNumber"/>
        <w:spacing w:line="240" w:lineRule="auto"/>
        <w:ind w:left="720"/>
      </w:pPr>
      <w:r/>
      <w:hyperlink r:id="rId15">
        <w:r>
          <w:rPr>
            <w:color w:val="0000EE"/>
            <w:u w:val="single"/>
          </w:rPr>
          <w:t>https://time.com/5388231/india-decriminalizes-homosexuality-section-377/</w:t>
        </w:r>
      </w:hyperlink>
      <w:r>
        <w:t xml:space="preserve"> - In September 2018, India's Supreme Court decriminalised consensual gay sex in a landmark ruling, annulling Section 377, a colonial-era law that criminalised it. The unanimous decision was made by a five-judge bench headed by Chief Justice Dipak Misra, who emphasised that the LGBTQ community has the same fundamental rights as all citizens. Justice Indu Malhotra noted that history owes an apology to the LGBTQ community for the delay in ensuring their rights. The ruling is significant in a country where homosexuality remains a taboo, and the court's decision is expected to encourage more people to come out and seek justice if harassed. (</w:t>
      </w:r>
      <w:hyperlink r:id="rId21">
        <w:r>
          <w:rPr>
            <w:color w:val="0000EE"/>
            <w:u w:val="single"/>
          </w:rPr>
          <w:t>time.com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ontline.thehindu.com/books/queer-literature-india-ugra-chughtai-same-sex-love/article71132816.ece" TargetMode="External"/><Relationship Id="rId10" Type="http://schemas.openxmlformats.org/officeDocument/2006/relationships/hyperlink" Target="https://en.wikipedia.org/wiki/Section_377" TargetMode="External"/><Relationship Id="rId11" Type="http://schemas.openxmlformats.org/officeDocument/2006/relationships/hyperlink" Target="https://www.axios.com/2018/09/06/india-supreme-court-legalizes-gay-sex" TargetMode="External"/><Relationship Id="rId12" Type="http://schemas.openxmlformats.org/officeDocument/2006/relationships/hyperlink" Target="https://en.wikipedia.org/wiki/Lihaaf" TargetMode="External"/><Relationship Id="rId13" Type="http://schemas.openxmlformats.org/officeDocument/2006/relationships/hyperlink" Target="https://en.wikipedia.org/wiki/Ismat_Chughtai" TargetMode="External"/><Relationship Id="rId14" Type="http://schemas.openxmlformats.org/officeDocument/2006/relationships/hyperlink" Target="https://www.newindianexpress.com/entertainment/hindi/2018/may/16/first-look-of-film-based-on-writer-ismat-chughtais-lihaaf-released-at-cannes-1815500.html" TargetMode="External"/><Relationship Id="rId15" Type="http://schemas.openxmlformats.org/officeDocument/2006/relationships/hyperlink" Target="https://time.com/5388231/india-decriminalizes-homosexuality-section-377/" TargetMode="External"/><Relationship Id="rId16" Type="http://schemas.openxmlformats.org/officeDocument/2006/relationships/hyperlink" Target="https://en.wikipedia.org/wiki/Section_377?utm_source=openai" TargetMode="External"/><Relationship Id="rId17" Type="http://schemas.openxmlformats.org/officeDocument/2006/relationships/hyperlink" Target="https://en.wikipedia.org/wiki/Lihaaf?utm_source=openai" TargetMode="External"/><Relationship Id="rId18" Type="http://schemas.openxmlformats.org/officeDocument/2006/relationships/hyperlink" Target="https://en.wikipedia.org/wiki/Ismat_Chughtai?utm_source=openai" TargetMode="External"/><Relationship Id="rId19" Type="http://schemas.openxmlformats.org/officeDocument/2006/relationships/hyperlink" Target="https://www.newindianexpress.com/entertainment/hindi/2018/may/16/first-look-of-film-based-on-writer-ismat-chughtais-lihaaf-released-at-cannes-1815500.html?utm_source=openai" TargetMode="External"/><Relationship Id="rId20" Type="http://schemas.openxmlformats.org/officeDocument/2006/relationships/hyperlink" Target="https://www.axios.com/2018/09/06/india-supreme-court-legalizes-gay-sex?utm_source=openai" TargetMode="External"/><Relationship Id="rId21" Type="http://schemas.openxmlformats.org/officeDocument/2006/relationships/hyperlink" Target="https://time.com/5388231/india-decriminalizes-homosexuality-section-37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