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Explanations of How Homophobia Becomes an Inherited Wound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cultures teach children before schools do: this piece maps how ambient stigma, institutional classification, and everyday tolerance embed shame in bodies and identities , why it matters for mental health, how the DSM episode left scars, and what that means for healing and solidarity.</w:t>
      </w:r>
      <w:r/>
    </w:p>
    <w:p>
      <w:r/>
      <w:r>
        <w:t>Essential Takeaways</w:t>
      </w:r>
      <w:r/>
      <w:r/>
    </w:p>
    <w:p>
      <w:pPr>
        <w:pStyle w:val="ListBullet"/>
        <w:spacing w:line="240" w:lineRule="auto"/>
        <w:ind w:left="720"/>
      </w:pPr>
      <w:r/>
      <w:r>
        <w:rPr>
          <w:b/>
        </w:rPr>
        <w:t>Minority stress matters:</w:t>
      </w:r>
      <w:r>
        <w:t xml:space="preserve"> Chronic stigma creates steady physiological and psychological strain, not just single traumas, which raises lifelong health risks. </w:t>
      </w:r>
      <w:r/>
    </w:p>
    <w:p>
      <w:pPr>
        <w:pStyle w:val="ListBullet"/>
        <w:spacing w:line="240" w:lineRule="auto"/>
        <w:ind w:left="720"/>
      </w:pPr>
      <w:r/>
      <w:r>
        <w:rPr>
          <w:b/>
        </w:rPr>
        <w:t>Institutional harm lingers:</w:t>
      </w:r>
      <w:r>
        <w:t xml:space="preserve"> Removing homosexuality from the DSM changed policy but could not undo the decades of clinical authority that taught people to self-police. </w:t>
      </w:r>
      <w:r/>
    </w:p>
    <w:p>
      <w:pPr>
        <w:pStyle w:val="ListBullet"/>
        <w:spacing w:line="240" w:lineRule="auto"/>
        <w:ind w:left="720"/>
      </w:pPr>
      <w:r/>
      <w:r>
        <w:rPr>
          <w:b/>
        </w:rPr>
        <w:t>Tolerance is conditional:</w:t>
      </w:r>
      <w:r>
        <w:t xml:space="preserve"> Legal wins and visibility often come with limits that preserve power dynamics and keep many people calculating safety in daily life. </w:t>
      </w:r>
      <w:r/>
    </w:p>
    <w:p>
      <w:pPr>
        <w:pStyle w:val="ListBullet"/>
        <w:spacing w:line="240" w:lineRule="auto"/>
        <w:ind w:left="720"/>
      </w:pPr>
      <w:r/>
      <w:r>
        <w:rPr>
          <w:b/>
        </w:rPr>
        <w:t>Bodies keep time:</w:t>
      </w:r>
      <w:r>
        <w:t xml:space="preserve"> Trauma lodged in the nervous system can persist after laws change; experience, not argument, rewrites those responses. </w:t>
      </w:r>
      <w:r/>
      <w:r/>
    </w:p>
    <w:p>
      <w:pPr>
        <w:pStyle w:val="Heading2"/>
      </w:pPr>
      <w:r>
        <w:t>How casual language at home becomes a wound you carry</w:t>
      </w:r>
      <w:r/>
    </w:p>
    <w:p>
      <w:r/>
      <w:r>
        <w:t>From a child’s first overheard slur to an adult’s tightened chest at a family dinner, the process is quietly atmospheric and deeply felt. Social scientists model this as more than words , it’s a sustained stressor that programs threat responses. The psychologist Ilan Meyer’s minority stress framework helps explain why chronic exposure to stigma raises rates of anxiety and depression independent of discrete assaults. For parents and friends, the practical takeaway is simple: what you shrug off as a joke can be the architecture of a lifelong reflex, so correct, model acceptance, and avoid coded contempt. Over time, small interventions , naming hurt, refusing slurs, offering consistent warmth , change the weather a child breathes.</w:t>
      </w:r>
      <w:r/>
    </w:p>
    <w:p>
      <w:pPr>
        <w:pStyle w:val="Heading2"/>
      </w:pPr>
      <w:r>
        <w:t>When medicine lent prejudice authority , and what that did</w:t>
      </w:r>
      <w:r/>
    </w:p>
    <w:p>
      <w:r/>
      <w:r>
        <w:t>The formal classification of homosexuality as a disorder gave institutional heft to everyday disgust and fed practices that were presented as care. Evelyn Hooker’s work showed no measurable pathology in gay men, yet clinical stigma persisted until the American Psychiatric Association removed the label in 1973. That vote altered policy but didn’t retroactively repair people’s lives: conversion treatments, forced institutionalisation, and legal penalties had already reshaped identities. Recognising this history matters because it explains why many survivors mistrust mental-health systems; honest clinical practice therefore needs to acknowledge past harms while offering trauma-informed care.</w:t>
      </w:r>
      <w:r/>
    </w:p>
    <w:p>
      <w:pPr>
        <w:pStyle w:val="Heading2"/>
      </w:pPr>
      <w:r>
        <w:t>Why rights and visibility don’t equal psychological safety</w:t>
      </w:r>
      <w:r/>
    </w:p>
    <w:p>
      <w:r/>
      <w:r>
        <w:t>Legal milestones like marriage equality are real and materially important, but they don’t instantly rewrite habit, memory, or the fine-grained calculations people make every day. What passes for “progress” can be tolerance packaged as generosity: inclusion permitted on others’ terms. Sociologists show that stigma operates relationally , those in power create and maintain categories of normality that require visible outsiders. So while laws shift, the unmarked majority still sets the norms, and the emotional labour of safety-management continues. Practically, that means policy change must be paired with cultural work: education in schools, ally training in workplaces, and everyday actions that make public spaces genuinely safe.</w:t>
      </w:r>
      <w:r/>
    </w:p>
    <w:p>
      <w:pPr>
        <w:pStyle w:val="Heading2"/>
      </w:pPr>
      <w:r>
        <w:t>The body remembers what legislation forgets</w:t>
      </w:r>
      <w:r/>
    </w:p>
    <w:p>
      <w:r/>
      <w:r>
        <w:t>Trauma researchers have shown that threat responses live in the nervous system, not only in the stories we tell. Bessel van der Kolk’s work outlines how autonomic responses survive legal and cognitive shifts; the body rehearses older dangers until new experiences prove otherwise. For clinicians and loved ones, this suggests different strategies: exposure in safe contexts, somatic therapies, community-based rituals of safety, and time. You can’t argue a flinch away, but you can build new patterns of interaction that, repeated, update the body’s software.</w:t>
      </w:r>
      <w:r/>
    </w:p>
    <w:p>
      <w:pPr>
        <w:pStyle w:val="Heading2"/>
      </w:pPr>
      <w:r>
        <w:t>Resilience is real , and often misread as obligation</w:t>
      </w:r>
      <w:r/>
    </w:p>
    <w:p>
      <w:r/>
      <w:r>
        <w:t>Calling survivors “resilient” without context risks turning survival into unpaid labour. Cultural forces frequently expect marginalised people to convert pain into art, testimony, or representational labour for others’ benefit. That extraction mirrors broader patterns where the oppressed are asked to heal publicly while the structures that produced harm remain intact. A more humane frame honours survival without demanding performance: fund grassroots supports, compensate storytelling labour, and resist making personal repair a substitute for structural change.</w:t>
      </w:r>
      <w:r/>
    </w:p>
    <w:p>
      <w:pPr>
        <w:pStyle w:val="Heading2"/>
      </w:pPr>
      <w:r>
        <w:t>What to do next , real steps that help</w:t>
      </w:r>
      <w:r/>
    </w:p>
    <w:p>
      <w:r/>
      <w:r>
        <w:t>Legal equality is necessary but insufficient; social and clinical infrastructures must follow. Support looks like sustained anti-bias education, trauma-informed mental-health services, and policies that make everyday spaces safer , from schools to workplaces. Allies can act locally: intervene in microaggressions, listen without asking for lessons, and support community organisations that offer collective rather than individualised remedies. Healing is collective work, and acknowledging the wound is the first step toward refusing to pass it along.</w:t>
      </w:r>
      <w:r/>
    </w:p>
    <w:p>
      <w:r/>
      <w:r>
        <w:t>It’s a small change to stop a word, a larger one to reframe systems , both matter for the people who carry what culture forgets.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0">
        <w:r>
          <w:rPr>
            <w:color w:val="0000EE"/>
            <w:u w:val="single"/>
          </w:rPr>
          <w:t>[5]</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[2]</w:t>
        </w:r>
      </w:hyperlink>
      <w:r>
        <w:t xml:space="preserve">- Paragraph 4: </w:t>
      </w:r>
      <w:hyperlink r:id="rId10">
        <w:r>
          <w:rPr>
            <w:color w:val="0000EE"/>
            <w:u w:val="single"/>
          </w:rPr>
          <w:t>[3]</w:t>
        </w:r>
      </w:hyperlink>
      <w:r>
        <w:t xml:space="preserve">, </w:t>
      </w:r>
      <w:hyperlink r:id="rId10">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[2]</w:t>
        </w:r>
      </w:hyperlink>
      <w:r>
        <w:t xml:space="preserve">- Paragraph 6: </w:t>
      </w:r>
      <w:hyperlink r:id="rId13">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https://blog.indiecinema.co/homophobia/</w:t>
        </w:r>
      </w:hyperlink>
      <w:r>
        <w:t xml:space="preserve"> - Please view link - unable to able to access data</w:t>
      </w:r>
      <w:r/>
    </w:p>
    <w:p>
      <w:pPr>
        <w:pStyle w:val="ListNumber"/>
        <w:spacing w:line="240" w:lineRule="auto"/>
        <w:ind w:left="720"/>
      </w:pPr>
      <w:r/>
      <w:hyperlink r:id="rId14">
        <w:r>
          <w:rPr>
            <w:color w:val="0000EE"/>
            <w:u w:val="single"/>
          </w:rPr>
          <w:t>https://www.britannica.com/procon/born-gay-debate</w:t>
        </w:r>
      </w:hyperlink>
      <w:r>
        <w:t xml:space="preserve"> - This article from Britannica discusses the debate over whether sexual orientation is innate or influenced by environmental factors. It highlights key studies, including Evelyn Hooker's 1957 research, which found no psychological differences between homosexual and heterosexual men, challenging the classification of homosexuality as a mental disorder. The piece also touches on the broader implications of these findings for understanding human sexuality and the persistence of societal prejudices.</w:t>
      </w:r>
      <w:r/>
    </w:p>
    <w:p>
      <w:pPr>
        <w:pStyle w:val="ListNumber"/>
        <w:spacing w:line="240" w:lineRule="auto"/>
        <w:ind w:left="720"/>
      </w:pPr>
      <w:r/>
      <w:hyperlink r:id="rId10">
        <w:r>
          <w:rPr>
            <w:color w:val="0000EE"/>
            <w:u w:val="single"/>
          </w:rPr>
          <w:t>https://www.sciencedirect.com/topics/psychology/minority-stress-model</w:t>
        </w:r>
      </w:hyperlink>
      <w:r>
        <w:t xml:space="preserve"> - This overview from ScienceDirect explains the Minority Stress Model developed by Ilan Meyer in 2003. The model posits that sexual minorities experience unique stressors due to societal stigma, discrimination, and prejudice, leading to adverse mental health outcomes. It distinguishes between distal stressors (external events like discrimination) and proximal stressors (internal processes like self-criticism), emphasizing the cumulative impact of these stressors on mental well-being.</w:t>
      </w:r>
      <w:r/>
    </w:p>
    <w:p>
      <w:pPr>
        <w:pStyle w:val="ListNumber"/>
        <w:spacing w:line="240" w:lineRule="auto"/>
        <w:ind w:left="720"/>
      </w:pPr>
      <w:r/>
      <w:hyperlink r:id="rId13">
        <w:r>
          <w:rPr>
            <w:color w:val="0000EE"/>
            <w:u w:val="single"/>
          </w:rPr>
          <w:t>https://www.universityofcalifornia.edu/news/five-years-ago-love-won-heres-how-research-helps-make-progress-possible</w:t>
        </w:r>
      </w:hyperlink>
      <w:r>
        <w:t xml:space="preserve"> - This article from the University of California highlights the significance of Evelyn Hooker's 1957 study, which demonstrated that homosexual men were as psychologically well-adjusted as heterosexual men. The study challenged prevailing beliefs that homosexuality was a mental illness and contributed to the eventual removal of homosexuality from the American Psychiatric Association's Diagnostic and Statistical Manual of Mental Disorders in 1973.</w:t>
      </w:r>
      <w:r/>
    </w:p>
    <w:p>
      <w:pPr>
        <w:pStyle w:val="ListNumber"/>
        <w:spacing w:line="240" w:lineRule="auto"/>
        <w:ind w:left="720"/>
      </w:pPr>
      <w:r/>
      <w:hyperlink r:id="rId10">
        <w:r>
          <w:rPr>
            <w:color w:val="0000EE"/>
            <w:u w:val="single"/>
          </w:rPr>
          <w:t>https://www.sciencedirect.com/topics/psychology/minority-stress-model</w:t>
        </w:r>
      </w:hyperlink>
      <w:r>
        <w:t xml:space="preserve"> - This overview from ScienceDirect explains the Minority Stress Model developed by Ilan Meyer in 2003. The model posits that sexual minorities experience unique stressors due to societal stigma, discrimination, and prejudice, leading to adverse mental health outcomes. It distinguishes between distal stressors (external events like discrimination) and proximal stressors (internal processes like self-criticism), emphasizing the cumulative impact of these stressors on mental well-being.</w:t>
      </w:r>
      <w:r/>
    </w:p>
    <w:p>
      <w:pPr>
        <w:pStyle w:val="ListNumber"/>
        <w:spacing w:line="240" w:lineRule="auto"/>
        <w:ind w:left="720"/>
      </w:pPr>
      <w:r/>
      <w:hyperlink r:id="rId12">
        <w:r>
          <w:rPr>
            <w:color w:val="0000EE"/>
            <w:u w:val="single"/>
          </w:rPr>
          <w:t>https://www.ebsco.com/research-starters/health-and-medicine/national-institute-of-mental-health-report-normalizes</w:t>
        </w:r>
      </w:hyperlink>
      <w:r>
        <w:t xml:space="preserve"> - This EBSCO Research Starters article discusses the impact of Evelyn Hooker's 1957 study on the perception of homosexuality. The study found no psychological differences between homosexual and heterosexual men, challenging the classification of homosexuality as a mental disorder. The article also covers the subsequent formation of the NIMH's Task Force on Homosexuality and the broader implications for mental health and societal attitudes.</w:t>
      </w:r>
      <w:r/>
    </w:p>
    <w:p>
      <w:pPr>
        <w:pStyle w:val="ListNumber"/>
        <w:spacing w:line="240" w:lineRule="auto"/>
        <w:ind w:left="720"/>
      </w:pPr>
      <w:r/>
      <w:hyperlink r:id="rId11">
        <w:r>
          <w:rPr>
            <w:color w:val="0000EE"/>
            <w:u w:val="single"/>
          </w:rPr>
          <w:t>https://www.tandfonline.com/doi/abs/10.1080/08853126.1957.10380742</w:t>
        </w:r>
      </w:hyperlink>
      <w:r>
        <w:t xml:space="preserve"> - This is the original publication of Evelyn Hooker's 1957 study titled 'The Adjustment of the Male Overt Homosexual' in the Journal of Projective Techniques. The study compared psychological test results of homosexual and heterosexual men and found no significant differences, providing empirical evidence that homosexuality is not a mental disorder. The article is accessible through the Taylor &amp; Francis Online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indiecinema.co/homophobia/" TargetMode="External"/><Relationship Id="rId10" Type="http://schemas.openxmlformats.org/officeDocument/2006/relationships/hyperlink" Target="https://www.sciencedirect.com/topics/psychology/minority-stress-model" TargetMode="External"/><Relationship Id="rId11" Type="http://schemas.openxmlformats.org/officeDocument/2006/relationships/hyperlink" Target="https://www.tandfonline.com/doi/abs/10.1080/08853126.1957.10380742" TargetMode="External"/><Relationship Id="rId12" Type="http://schemas.openxmlformats.org/officeDocument/2006/relationships/hyperlink" Target="https://www.ebsco.com/research-starters/health-and-medicine/national-institute-of-mental-health-report-normalizes" TargetMode="External"/><Relationship Id="rId13" Type="http://schemas.openxmlformats.org/officeDocument/2006/relationships/hyperlink" Target="https://www.universityofcalifornia.edu/news/five-years-ago-love-won-heres-how-research-helps-make-progress-possible" TargetMode="External"/><Relationship Id="rId14" Type="http://schemas.openxmlformats.org/officeDocument/2006/relationships/hyperlink" Target="https://www.britannica.com/procon/born-gay-deb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