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Year‑Round Marketing to LGBTQ+ Consumers: Why Allies Matter for Revenue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shifting: new research shows LGBTQ+ people and their allies are a sizeable, younger and increasingly affluent audience worth courting beyond Pride Month , and allies alone outspent non-supporters by billions across everyday and aspirational categories.</w:t>
      </w:r>
      <w:r/>
      <w:r/>
    </w:p>
    <w:p>
      <w:pPr>
        <w:pStyle w:val="ListBullet"/>
        <w:spacing w:line="240" w:lineRule="auto"/>
        <w:ind w:left="720"/>
      </w:pPr>
      <w:r/>
      <w:r>
        <w:rPr>
          <w:b/>
        </w:rPr>
        <w:t>Big spending gap:</w:t>
      </w:r>
      <w:r>
        <w:t xml:space="preserve"> Allies of the LGBTQ+ community spent about $73 billion across measured categories versus $56 billion for non-supporters, showing a clear commercial advantage for brands that engage supporters year‑round. </w:t>
      </w:r>
      <w:r/>
    </w:p>
    <w:p>
      <w:pPr>
        <w:pStyle w:val="ListBullet"/>
        <w:spacing w:line="240" w:lineRule="auto"/>
        <w:ind w:left="720"/>
      </w:pPr>
      <w:r/>
      <w:r>
        <w:rPr>
          <w:b/>
        </w:rPr>
        <w:t>Younger audience, strong reach:</w:t>
      </w:r>
      <w:r>
        <w:t xml:space="preserve"> About 79% of LGBTQ+ adults are aged 18–49, with Gen Z and Millennials making up the bulk , that matters for streaming, social and CTV targeting. </w:t>
      </w:r>
      <w:r/>
    </w:p>
    <w:p>
      <w:pPr>
        <w:pStyle w:val="ListBullet"/>
        <w:spacing w:line="240" w:lineRule="auto"/>
        <w:ind w:left="720"/>
      </w:pPr>
      <w:r/>
      <w:r>
        <w:rPr>
          <w:b/>
        </w:rPr>
        <w:t>Income and education parity:</w:t>
      </w:r>
      <w:r>
        <w:t xml:space="preserve"> LGBTQ+ adults mirror the general population on education and household income, so higher spend by allies isn’t just a demographic quirk. </w:t>
      </w:r>
      <w:r/>
    </w:p>
    <w:p>
      <w:pPr>
        <w:pStyle w:val="ListBullet"/>
        <w:spacing w:line="240" w:lineRule="auto"/>
        <w:ind w:left="720"/>
      </w:pPr>
      <w:r/>
      <w:r>
        <w:rPr>
          <w:b/>
        </w:rPr>
        <w:t>Values drive purchases:</w:t>
      </w:r>
      <w:r>
        <w:t xml:space="preserve"> LGBTQ+ consumers show stronger tendencies to reward brands that act on social causes and environmental commitments; authenticity matters. </w:t>
      </w:r>
      <w:r/>
      <w:r/>
    </w:p>
    <w:p>
      <w:pPr>
        <w:pStyle w:val="Heading2"/>
      </w:pPr>
      <w:r>
        <w:t>Hook: Allies aren’t just symbolic , they buy more</w:t>
      </w:r>
      <w:r/>
    </w:p>
    <w:p>
      <w:r/>
      <w:r>
        <w:t>The biggest headline from the VAB's "Stand with Pride" report is simple and sensory: allies spend noticeably more. Brands can smell the opportunity in everyday categories from fragrance to fine dining where allies’ purchase levels run well ahead of non-supporters. According to MRI‑Simmons data analysed by the Video Advertising Bureau, that translates into a multi‑billion dollar gulf that marketers can’t ignore.</w:t>
      </w:r>
      <w:r/>
    </w:p>
    <w:p>
      <w:r/>
      <w:r>
        <w:t>Context matters: VAB released the report during Pride Month but makes a point of saying this is about year‑round commercial strategy, not a June stunt. For marketers, that’s the difference between a seasonal splash and building sustained brand equity with an audience that will pay for perceived alignment.</w:t>
      </w:r>
      <w:r/>
    </w:p>
    <w:p>
      <w:pPr>
        <w:pStyle w:val="Heading2"/>
      </w:pPr>
      <w:r>
        <w:t>Who’s in the audience and why they matter</w:t>
      </w:r>
      <w:r/>
    </w:p>
    <w:p>
      <w:r/>
      <w:r>
        <w:t>The community , and its network of supporters , is younger and culturally diverse. VAB’s breakdown shows 79% of LGBTQ+ adults are 18–49, with Gen Z alone representing 40% of LGBTQ+ adults. That skews media consumption toward ad‑supported streaming and social channels where younger cohorts live, which fits with wider industry findings on addressable CTV adoption.</w:t>
      </w:r>
      <w:r/>
    </w:p>
    <w:p>
      <w:r/>
      <w:r>
        <w:t>Ethnic indexing also diverges from the general population, so creative and media plans need to reflect cultural nuance rather than one‑size‑fits‑all imagery. In short: reach a younger mix of consumers where they watch, and show them you understand who they are.</w:t>
      </w:r>
      <w:r/>
    </w:p>
    <w:p>
      <w:pPr>
        <w:pStyle w:val="Heading2"/>
      </w:pPr>
      <w:r>
        <w:t>Spending power isn’t a myth , it’s parity</w:t>
      </w:r>
      <w:r/>
    </w:p>
    <w:p>
      <w:r/>
      <w:r>
        <w:t>One useful corrective in the VAB work is the data on income and education. LGBTQ+ adults are broadly in line with non‑LGBTQ+ adults on both measures, which means the ally spending advantage is not just an artifact of demographics. With roughly equal shares holding bachelor’s degrees and similar proportions in higher household income brackets, the commercial case shifts from "Is this audience rich?" to "Are you earning their loyalty?"</w:t>
      </w:r>
      <w:r/>
    </w:p>
    <w:p>
      <w:r/>
      <w:r>
        <w:t>For practical planning, that means treating LGBTQ+ audiences as part of mainstream targeting and layering in affinity and values signals, rather than isolating them as niche spenders.</w:t>
      </w:r>
      <w:r/>
    </w:p>
    <w:p>
      <w:pPr>
        <w:pStyle w:val="Heading2"/>
      </w:pPr>
      <w:r>
        <w:t>Values, advocacy and creative authenticity</w:t>
      </w:r>
      <w:r/>
    </w:p>
    <w:p>
      <w:r/>
      <w:r>
        <w:t>The report shows that values influence buying: LGBTQ+ adults are more likely than non‑LGBTQ+ adults to say they’ll buy brands that support causes they care about and to avoid companies that drop DEI commitments. This suggests two things for brands. First, token gestures during Pride aren’t enough; consumers expect consistent, substantive positions. Second, messaging that foregrounds real action and measurable commitments will land harder than generic support language.</w:t>
      </w:r>
      <w:r/>
    </w:p>
    <w:p>
      <w:r/>
      <w:r>
        <w:t>So when you brief creatives, prioritise authenticity. Work with community partners, show real representation in more than Pride ads, and be ready to back up claims with policy or programme details.</w:t>
      </w:r>
      <w:r/>
    </w:p>
    <w:p>
      <w:pPr>
        <w:pStyle w:val="Heading2"/>
      </w:pPr>
      <w:r>
        <w:t>Media and activation: how to move from theory to buys</w:t>
      </w:r>
      <w:r/>
    </w:p>
    <w:p>
      <w:r/>
      <w:r>
        <w:t>Practically speaking, marketers should shift budgets from a Pride‑only spike to sustained campaigns across channels where younger audiences and allies are active , think addressable CTV, social platforms, streaming ad inventory and contextually relevant out‑of‑home. VAB’s broader research on addressability shows the infrastructure exists to reach households with precision, and platforms that have built direct connections to LGBTQ+ users can amplify engagement.</w:t>
      </w:r>
      <w:r/>
    </w:p>
    <w:p>
      <w:r/>
      <w:r>
        <w:t>A quick checklist: map audience segments by age and media habits, audit creative for authentic representation, plan year‑round offers and partnerships, and measure both short‑term conversions and long‑term brand sentiment.</w:t>
      </w:r>
      <w:r/>
    </w:p>
    <w:p>
      <w:pPr>
        <w:pStyle w:val="Heading2"/>
      </w:pPr>
      <w:r>
        <w:t>Look ahead: reputational upside and risk</w:t>
      </w:r>
      <w:r/>
    </w:p>
    <w:p>
      <w:r/>
      <w:r>
        <w:t>The business case is pretty clear: engaging allies and LGBTQ+ consumers consistently can unlock meaningful incremental sales and stronger brand loyalty. The flip side is reputational risk , pulling back on DEI or making shallow seasonal gestures can cost customers across demographics. So the sensible move is to treat inclusion as strategy, not PR.</w:t>
      </w:r>
      <w:r/>
    </w:p>
    <w:p>
      <w:r/>
      <w:r>
        <w:t>It’s a small strategic shift with outsized returns for brands willing to plan beyond June.</w:t>
      </w:r>
      <w:r/>
    </w:p>
    <w:p>
      <w:r/>
      <w:r>
        <w:t>It's a small change that can make every campaign more relevant and every purchase more likely.</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1">
        <w:r>
          <w:rPr>
            <w:color w:val="0000EE"/>
            <w:u w:val="single"/>
          </w:rPr>
          <w:t>[4]</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2">
        <w:r>
          <w:rPr>
            <w:color w:val="0000EE"/>
            <w:u w:val="single"/>
          </w:rPr>
          <w:t>[3]</w:t>
        </w:r>
      </w:hyperlink>
      <w:r>
        <w:t xml:space="preserve">- Paragraph 4: </w:t>
      </w:r>
      <w:hyperlink r:id="rId12">
        <w:r>
          <w:rPr>
            <w:color w:val="0000EE"/>
            <w:u w:val="single"/>
          </w:rPr>
          <w:t>[3]</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3">
        <w:r>
          <w:rPr>
            <w:color w:val="0000EE"/>
            <w:u w:val="single"/>
          </w:rPr>
          <w:t>[5]</w:t>
        </w:r>
      </w:hyperlink>
      <w:r>
        <w:t xml:space="preserve">- Paragraph 6: </w:t>
      </w:r>
      <w:hyperlink r:id="rId10">
        <w:r>
          <w:rPr>
            <w:color w:val="0000EE"/>
            <w:u w:val="single"/>
          </w:rPr>
          <w:t>[2]</w:t>
        </w:r>
      </w:hyperlink>
      <w:r>
        <w:t xml:space="preserve">, </w:t>
      </w:r>
      <w:hyperlink r:id="rId14">
        <w:r>
          <w:rPr>
            <w:color w:val="0000EE"/>
            <w:u w:val="single"/>
          </w:rPr>
          <w:t>[6]</w:t>
        </w:r>
      </w:hyperlink>
      <w:r>
        <w:t xml:space="preserve">- Paragraph 7: </w:t>
      </w:r>
      <w:hyperlink r:id="rId13">
        <w:r>
          <w:rPr>
            <w:color w:val="0000EE"/>
            <w:u w:val="single"/>
          </w:rPr>
          <w:t>[5]</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https://ppc.land/lgbtq-allies-outspend-non-supporters-by-17b-vab-report-finds/</w:t>
        </w:r>
      </w:hyperlink>
      <w:r>
        <w:t xml:space="preserve"> - Please view link - unable to able to access data</w:t>
      </w:r>
      <w:r/>
    </w:p>
    <w:p>
      <w:pPr>
        <w:pStyle w:val="ListNumber"/>
        <w:spacing w:line="240" w:lineRule="auto"/>
        <w:ind w:left="720"/>
      </w:pPr>
      <w:r/>
      <w:hyperlink r:id="rId10">
        <w:r>
          <w:rPr>
            <w:color w:val="0000EE"/>
            <w:u w:val="single"/>
          </w:rPr>
          <w:t>https://news.gallup.com/poll/702206/lgbtq-identification-holds.aspx</w:t>
        </w:r>
      </w:hyperlink>
      <w:r>
        <w:t xml:space="preserve"> - A Gallup poll from February 16, 2026, reports that 9% of U.S. adults identify as LGBTQ+, a significant increase from 3.5% in 2012. The survey highlights that bisexual individuals constitute the largest segment within this group. Younger adults, particularly those under 30, are more likely to identify as LGBTQ+, with 23% of adults aged 18-29 reporting such identification. The study also notes that women are nearly twice as likely as men to identify as LGBTQ+, with 10.5% of women and 5.6% of men reporting this identification. (</w:t>
      </w:r>
      <w:hyperlink r:id="rId16">
        <w:r>
          <w:rPr>
            <w:color w:val="0000EE"/>
            <w:u w:val="single"/>
          </w:rPr>
          <w:t>news.gallup.com</w:t>
        </w:r>
      </w:hyperlink>
      <w:r>
        <w:t>)</w:t>
      </w:r>
      <w:r/>
    </w:p>
    <w:p>
      <w:pPr>
        <w:pStyle w:val="ListNumber"/>
        <w:spacing w:line="240" w:lineRule="auto"/>
        <w:ind w:left="720"/>
      </w:pPr>
      <w:r/>
      <w:hyperlink r:id="rId12">
        <w:r>
          <w:rPr>
            <w:color w:val="0000EE"/>
            <w:u w:val="single"/>
          </w:rPr>
          <w:t>https://news.gallup.com/poll/332522/percentage-americans-lgbt.aspx</w:t>
        </w:r>
      </w:hyperlink>
      <w:r>
        <w:t xml:space="preserve"> - An article from March 3, 2022, updated on June 1, 2026, by Gallup, states that 9% of U.S. adults identify as LGBTQ+, more than doubling the 3.5% recorded in 2012. The article provides a breakdown of LGBTQ+ identification by age, noting that 23% of adults under 30 identify as LGBTQ+. It also highlights that women are nearly twice as likely as men to identify as LGBTQ+, with 10.5% of women and 5.6% of men reporting this identification. (</w:t>
      </w:r>
      <w:hyperlink r:id="rId17">
        <w:r>
          <w:rPr>
            <w:color w:val="0000EE"/>
            <w:u w:val="single"/>
          </w:rPr>
          <w:t>news.gallup.com</w:t>
        </w:r>
      </w:hyperlink>
      <w:r>
        <w:t>)</w:t>
      </w:r>
      <w:r/>
    </w:p>
    <w:p>
      <w:pPr>
        <w:pStyle w:val="ListNumber"/>
        <w:spacing w:line="240" w:lineRule="auto"/>
        <w:ind w:left="720"/>
      </w:pPr>
      <w:r/>
      <w:hyperlink r:id="rId11">
        <w:r>
          <w:rPr>
            <w:color w:val="0000EE"/>
            <w:u w:val="single"/>
          </w:rPr>
          <w:t>https://news.gallup.com/poll/656708/lgbtq-identification-rises.aspx</w:t>
        </w:r>
      </w:hyperlink>
      <w:r>
        <w:t xml:space="preserve"> - A Gallup poll from February 20, 2025, reports that 9.3% of U.S. adults identify as LGBTQ+, an increase from 7.6% in 2023. The survey indicates that bisexual individuals make up the largest share of the LGBTQ+ population, with 56% identifying as bisexual. Younger adults, particularly those under 30, are more likely to identify as LGBTQ+, with 23% of adults aged 18-29 reporting such identification. The study also notes that women are nearly twice as likely as men to identify as LGBTQ+, with 10.5% of women and 5.6% of men reporting this identification. (</w:t>
      </w:r>
      <w:hyperlink r:id="rId18">
        <w:r>
          <w:rPr>
            <w:color w:val="0000EE"/>
            <w:u w:val="single"/>
          </w:rPr>
          <w:t>news.gallup.com</w:t>
        </w:r>
      </w:hyperlink>
      <w:r>
        <w:t>)</w:t>
      </w:r>
      <w:r/>
    </w:p>
    <w:p>
      <w:pPr>
        <w:pStyle w:val="ListNumber"/>
        <w:spacing w:line="240" w:lineRule="auto"/>
        <w:ind w:left="720"/>
      </w:pPr>
      <w:r/>
      <w:hyperlink r:id="rId13">
        <w:r>
          <w:rPr>
            <w:color w:val="0000EE"/>
            <w:u w:val="single"/>
          </w:rPr>
          <w:t>https://news.gallup.com/poll/710810/support-lgbtq-issues-remains-down-peak.aspx</w:t>
        </w:r>
      </w:hyperlink>
      <w:r>
        <w:t xml:space="preserve"> - An article from June 3, 2026, by Gallup, discusses the plateauing and slight decline in U.S. support for LGBTQ+ issues. It notes that approval of same-sex marriage, moral acceptance of gay and lesbian relations, and endorsement of gender changes have all decreased from peaks reached in the early 2020s. The article highlights that 65% of Americans now support legal same-sex marriages, down six percentage points from the peak in 2022 and 2023. Similarly, 62% view gay or lesbian relations as morally acceptable, the lowest since 2016. (</w:t>
      </w:r>
      <w:hyperlink r:id="rId19">
        <w:r>
          <w:rPr>
            <w:color w:val="0000EE"/>
            <w:u w:val="single"/>
          </w:rPr>
          <w:t>news.gallup.com</w:t>
        </w:r>
      </w:hyperlink>
      <w:r>
        <w:t>)</w:t>
      </w:r>
      <w:r/>
    </w:p>
    <w:p>
      <w:pPr>
        <w:pStyle w:val="ListNumber"/>
        <w:spacing w:line="240" w:lineRule="auto"/>
        <w:ind w:left="720"/>
      </w:pPr>
      <w:r/>
      <w:hyperlink r:id="rId14">
        <w:r>
          <w:rPr>
            <w:color w:val="0000EE"/>
            <w:u w:val="single"/>
          </w:rPr>
          <w:t>https://www.metroweekly.com/2026/02/lgbtq-identification-gallup-2025</w:t>
        </w:r>
      </w:hyperlink>
      <w:r>
        <w:t xml:space="preserve"> - An article from February 19, 2026, by Metro Weekly, reports that 9% of U.S. adults identify as LGBTQ+, according to Gallup's 2025 polling. The article notes that this figure remains unchanged from 2024 but is higher than the 7% who identified as LGBTQ+ between 2021 and 2023. It also highlights that bisexual individuals make up the largest share of the LGBTQ+ population. (</w:t>
      </w:r>
      <w:hyperlink r:id="rId20">
        <w:r>
          <w:rPr>
            <w:color w:val="0000EE"/>
            <w:u w:val="single"/>
          </w:rPr>
          <w:t>metroweekly.com</w:t>
        </w:r>
      </w:hyperlink>
      <w:r>
        <w:t>)</w:t>
      </w:r>
      <w:r/>
    </w:p>
    <w:p>
      <w:pPr>
        <w:pStyle w:val="ListNumber"/>
        <w:spacing w:line="240" w:lineRule="auto"/>
        <w:ind w:left="720"/>
      </w:pPr>
      <w:r/>
      <w:hyperlink r:id="rId15">
        <w:r>
          <w:rPr>
            <w:color w:val="0000EE"/>
            <w:u w:val="single"/>
          </w:rPr>
          <w:t>https://www.bloomingtonpridemn.org/stats</w:t>
        </w:r>
      </w:hyperlink>
      <w:r>
        <w:t xml:space="preserve"> - An article from Bloomington Pride MN provides statistics on the LGBTQ+ community, stating that as of 2026, approximately 9% of U.S. adults identify as LGBTQ+, reflecting a steady increase since 2012. The article also provides a breakdown of LGBTQ+ identification by generation, noting that 23% of adults aged 18-29 identify as LGBTQ+. It highlights that nearly one in four adults aged 18-29 identify as LGBTQ+, showing generational shifts in visibility and acceptance. (</w:t>
      </w:r>
      <w:hyperlink r:id="rId21">
        <w:r>
          <w:rPr>
            <w:color w:val="0000EE"/>
            <w:u w:val="single"/>
          </w:rPr>
          <w:t>bloomingtonpridemn.org</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ppc.land/lgbtq-allies-outspend-non-supporters-by-17b-vab-report-finds/" TargetMode="External"/><Relationship Id="rId10" Type="http://schemas.openxmlformats.org/officeDocument/2006/relationships/hyperlink" Target="https://news.gallup.com/poll/702206/lgbtq-identification-holds.aspx" TargetMode="External"/><Relationship Id="rId11" Type="http://schemas.openxmlformats.org/officeDocument/2006/relationships/hyperlink" Target="https://news.gallup.com/poll/656708/lgbtq-identification-rises.aspx" TargetMode="External"/><Relationship Id="rId12" Type="http://schemas.openxmlformats.org/officeDocument/2006/relationships/hyperlink" Target="https://news.gallup.com/poll/332522/percentage-americans-lgbt.aspx" TargetMode="External"/><Relationship Id="rId13" Type="http://schemas.openxmlformats.org/officeDocument/2006/relationships/hyperlink" Target="https://news.gallup.com/poll/710810/support-lgbtq-issues-remains-down-peak.aspx" TargetMode="External"/><Relationship Id="rId14" Type="http://schemas.openxmlformats.org/officeDocument/2006/relationships/hyperlink" Target="https://www.metroweekly.com/2026/02/lgbtq-identification-gallup-2025" TargetMode="External"/><Relationship Id="rId15" Type="http://schemas.openxmlformats.org/officeDocument/2006/relationships/hyperlink" Target="https://www.bloomingtonpridemn.org/stats" TargetMode="External"/><Relationship Id="rId16" Type="http://schemas.openxmlformats.org/officeDocument/2006/relationships/hyperlink" Target="https://news.gallup.com/poll/702206/lgbtq-identification-holds.aspx?utm_source=openai" TargetMode="External"/><Relationship Id="rId17" Type="http://schemas.openxmlformats.org/officeDocument/2006/relationships/hyperlink" Target="https://news.gallup.com/poll/332522/percentage-americans-lgbt.aspx?utm_source=openai" TargetMode="External"/><Relationship Id="rId18" Type="http://schemas.openxmlformats.org/officeDocument/2006/relationships/hyperlink" Target="https://news.gallup.com/poll/656708/lgbtq-identification-rises.aspx?utm_source=openai" TargetMode="External"/><Relationship Id="rId19" Type="http://schemas.openxmlformats.org/officeDocument/2006/relationships/hyperlink" Target="https://news.gallup.com/poll/710810/support-lgbtq-issues-remains-down-peak.aspx?utm_source=openai" TargetMode="External"/><Relationship Id="rId20" Type="http://schemas.openxmlformats.org/officeDocument/2006/relationships/hyperlink" Target="https://www.metroweekly.com/2026/02/lgbtq-identification-gallup-2025?utm_source=openai" TargetMode="External"/><Relationship Id="rId21" Type="http://schemas.openxmlformats.org/officeDocument/2006/relationships/hyperlink" Target="https://www.bloomingtonpridemn.org/stat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