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Turn Pride Month Energy into Votes This Midterm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the moment: Pride Month is a time for colour and joy, but it's also a political season , with state ballots, federal fights, and real-life consequences for LGBTQ+ people. Here's how supporters can turn celebration into civic power, locally and nationally, ahead of the critical midterms.</w:t>
      </w:r>
      <w:r/>
    </w:p>
    <w:p>
      <w:r/>
      <w:r>
        <w:t>Essential Takeaways</w:t>
      </w:r>
      <w:r/>
      <w:r/>
    </w:p>
    <w:p>
      <w:pPr>
        <w:pStyle w:val="ListBullet"/>
        <w:spacing w:line="240" w:lineRule="auto"/>
        <w:ind w:left="720"/>
      </w:pPr>
      <w:r/>
      <w:r>
        <w:rPr>
          <w:b/>
        </w:rPr>
        <w:t>High stakes now:</w:t>
      </w:r>
      <w:r>
        <w:t xml:space="preserve"> State ballots and Congress can directly affect LGBTQ+ rights, from bathrooms to gender-affirming care. </w:t>
      </w:r>
      <w:r/>
    </w:p>
    <w:p>
      <w:pPr>
        <w:pStyle w:val="ListBullet"/>
        <w:spacing w:line="240" w:lineRule="auto"/>
        <w:ind w:left="720"/>
      </w:pPr>
      <w:r/>
      <w:r>
        <w:rPr>
          <w:b/>
        </w:rPr>
        <w:t>Heads up on measures:</w:t>
      </w:r>
      <w:r>
        <w:t xml:space="preserve"> Several states will see proposals on sports participation, bathroom access and limits on care for minors. </w:t>
      </w:r>
      <w:r/>
    </w:p>
    <w:p>
      <w:pPr>
        <w:pStyle w:val="ListBullet"/>
        <w:spacing w:line="240" w:lineRule="auto"/>
        <w:ind w:left="720"/>
      </w:pPr>
      <w:r/>
      <w:r>
        <w:rPr>
          <w:b/>
        </w:rPr>
        <w:t>Vote and organise:</w:t>
      </w:r>
      <w:r>
        <w:t xml:space="preserve"> Local civic work and turnout are as decisive as national races; small shifts in state legislatures matter. </w:t>
      </w:r>
      <w:r/>
    </w:p>
    <w:p>
      <w:pPr>
        <w:pStyle w:val="ListBullet"/>
        <w:spacing w:line="240" w:lineRule="auto"/>
        <w:ind w:left="720"/>
      </w:pPr>
      <w:r/>
      <w:r>
        <w:rPr>
          <w:b/>
        </w:rPr>
        <w:t>Support pro-equality candidates:</w:t>
      </w:r>
      <w:r>
        <w:t xml:space="preserve"> Backing openly LGBTQ+ and ally candidates helps safeguard and expand protections. </w:t>
      </w:r>
      <w:r/>
    </w:p>
    <w:p>
      <w:pPr>
        <w:pStyle w:val="ListBullet"/>
        <w:spacing w:line="240" w:lineRule="auto"/>
        <w:ind w:left="720"/>
      </w:pPr>
      <w:r/>
      <w:r>
        <w:rPr>
          <w:b/>
        </w:rPr>
        <w:t>Practical next steps:</w:t>
      </w:r>
      <w:r>
        <w:t xml:space="preserve"> Register, check your ballot, volunteer, and donate to targeted campaigns or legal defenders.</w:t>
      </w:r>
      <w:r/>
      <w:r/>
    </w:p>
    <w:p>
      <w:pPr>
        <w:pStyle w:val="Heading2"/>
      </w:pPr>
      <w:r>
        <w:t>Why Pride Month and midterms are tied together now</w:t>
      </w:r>
      <w:r/>
    </w:p>
    <w:p>
      <w:r/>
      <w:r>
        <w:t>Pride feels celebratory, but this summer many activists are watching November with a keen, slightly anxious eye. According to advocacy groups and reporting, a slew of state-level measures are being pushed that would change who can access bathrooms, compete in school sports, or receive gender-affirming care for minors. The result: what happens at the ballot box this autumn can alter daily life for trans and queer people in their own communities. For anyone who enjoys Pride parades and placards, that makes civic engagement part of the toolkit for keeping those smiles in place.</w:t>
      </w:r>
      <w:r/>
    </w:p>
    <w:p>
      <w:pPr>
        <w:pStyle w:val="Heading2"/>
      </w:pPr>
      <w:r>
        <w:t>What the ballot fights actually look like this year</w:t>
      </w:r>
      <w:r/>
    </w:p>
    <w:p>
      <w:r/>
      <w:r>
        <w:t>You’ll see a mix of things on state ballots , some aimed at restricting trans youth’s access to healthcare, others trying to set rules for bathrooms and team sports, and a few that expand protections. Voters in several states are facing amendments or statutes that would force student-athletes to compete according to biological sex, or restrict access to private facilities. Meanwhile, other states have measures to strengthen non‑discrimination protections or to enshrine marriage rights. The takeaway is simple: read your local ballot early so you know which measures affect people you care about.</w:t>
      </w:r>
      <w:r/>
    </w:p>
    <w:p>
      <w:pPr>
        <w:pStyle w:val="Heading2"/>
      </w:pPr>
      <w:r>
        <w:t>Why state legislatures matter as much as Congress</w:t>
      </w:r>
      <w:r/>
    </w:p>
    <w:p>
      <w:r/>
      <w:r>
        <w:t>It’s easy to focus on headlines about Capitol Hill, but state legislatures write lots of the rules that shape everyday life. If Congress or statehouses tilt towards conservative control, there’s a clearer path for restrictive laws to advance. Conversely, electing local officials who back equality can block harmful bills and expand rights. Human Rights Campaign programmes and similar efforts are ramping up electoral work precisely because partners believe flipping or defending seats at the state level can deliver immediate protections.</w:t>
      </w:r>
      <w:r/>
    </w:p>
    <w:p>
      <w:pPr>
        <w:pStyle w:val="Heading2"/>
      </w:pPr>
      <w:r>
        <w:t>Practical ways to turn Pride spirit into votes</w:t>
      </w:r>
      <w:r/>
    </w:p>
    <w:p>
      <w:r/>
      <w:r>
        <w:t>Start with the basics: make sure you and the people around you are registered and know the deadlines. Check what’s on your local ballot now so you can explain measures and candidates to friends and family. Volunteer for local campaigns that support pro-equality candidates, or help with non-partisan voter registration drives at Pride events. Donations to legal groups that defend rights, or to organisations doing targeted outreach, can move the needle too. Small shifts in turnout have decided state races before, so a few hours of canvassing or a modest donation can feel surprisingly powerful.</w:t>
      </w:r>
      <w:r/>
    </w:p>
    <w:p>
      <w:pPr>
        <w:pStyle w:val="Heading2"/>
      </w:pPr>
      <w:r>
        <w:t>Who to support and how to spot meaningful candidates</w:t>
      </w:r>
      <w:r/>
    </w:p>
    <w:p>
      <w:r/>
      <w:r>
        <w:t>Look beyond party labels and toward records and endorsements. Openly LGBTQ+ candidates and those with a history of sponsoring non-discrimination measures are obvious choices for many voters. At the same time, watchdogs compile votes and public statements on LGBT+ issues so you can judge incumbents and challengers. Organisations running electoral programmes are also identifying swing districts where a flip or defence could stop harmful legislation. Backing campaigns in those places tends to be the most strategic use of time and money.</w:t>
      </w:r>
      <w:r/>
    </w:p>
    <w:p>
      <w:r/>
      <w:r>
        <w:t>It's a small change that can make every Pride safer and more enduring: vote, help others vote, and keep the pressure on local officials.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0">
        <w:r>
          <w:rPr>
            <w:color w:val="0000EE"/>
            <w:u w:val="single"/>
          </w:rPr>
          <w:t>[4]</w:t>
        </w:r>
      </w:hyperlink>
      <w:r>
        <w:t xml:space="preserve">- Paragraph 3: </w:t>
      </w:r>
      <w:hyperlink r:id="rId10">
        <w:r>
          <w:rPr>
            <w:color w:val="0000EE"/>
            <w:u w:val="single"/>
          </w:rPr>
          <w:t>[4]</w:t>
        </w:r>
      </w:hyperlink>
      <w:r>
        <w:t xml:space="preserve">, </w:t>
      </w:r>
      <w:hyperlink r:id="rId12">
        <w:r>
          <w:rPr>
            <w:color w:val="0000EE"/>
            <w:u w:val="single"/>
          </w:rPr>
          <w:t>[6]</w:t>
        </w:r>
      </w:hyperlink>
      <w:r>
        <w:t xml:space="preserve">- Paragraph 4: </w:t>
      </w:r>
      <w:hyperlink r:id="rId13">
        <w:r>
          <w:rPr>
            <w:color w:val="0000EE"/>
            <w:u w:val="single"/>
          </w:rPr>
          <w:t>[5]</w:t>
        </w:r>
      </w:hyperlink>
      <w:r>
        <w:t xml:space="preserve">, </w:t>
      </w:r>
      <w:hyperlink r:id="rId14">
        <w:r>
          <w:rPr>
            <w:color w:val="0000EE"/>
            <w:u w:val="single"/>
          </w:rPr>
          <w:t>[3]</w:t>
        </w:r>
      </w:hyperlink>
      <w:r>
        <w:t xml:space="preserve">- Paragraph 5: </w:t>
      </w:r>
      <w:hyperlink r:id="rId14">
        <w:r>
          <w:rPr>
            <w:color w:val="0000EE"/>
            <w:u w:val="single"/>
          </w:rPr>
          <w:t>[3]</w:t>
        </w:r>
      </w:hyperlink>
      <w:r>
        <w:t xml:space="preserve">, </w:t>
      </w:r>
      <w:hyperlink r:id="rId15">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https://www.hercampus.com/culture/pride-month-midterm-election-lgbtq-community-vote-op-ed/</w:t>
        </w:r>
      </w:hyperlink>
      <w:r>
        <w:t xml:space="preserve"> - Please view link - unable to able to access data</w:t>
      </w:r>
      <w:r/>
    </w:p>
    <w:p>
      <w:pPr>
        <w:pStyle w:val="ListNumber"/>
        <w:spacing w:line="240" w:lineRule="auto"/>
        <w:ind w:left="720"/>
      </w:pPr>
      <w:r/>
      <w:hyperlink r:id="rId15">
        <w:r>
          <w:rPr>
            <w:color w:val="0000EE"/>
            <w:u w:val="single"/>
          </w:rPr>
          <w:t>https://www.congress.gov/bill/119th-congress/senate-resolution/604/text</w:t>
        </w:r>
      </w:hyperlink>
      <w:r>
        <w:t xml:space="preserve"> - In February 2026, Senator Edward J. Markey introduced Senate Resolution 604, recognising the federal government's duty to develop and implement a Transgender Bill of Rights. This resolution aims to protect and codify the rights of transgender and nonbinary individuals, ensuring their access to medical care, shelter, safety, and economic security. The bill was referred to the Committee on the Judiciary for further consideration.</w:t>
      </w:r>
      <w:r/>
    </w:p>
    <w:p>
      <w:pPr>
        <w:pStyle w:val="ListNumber"/>
        <w:spacing w:line="240" w:lineRule="auto"/>
        <w:ind w:left="720"/>
      </w:pPr>
      <w:r/>
      <w:hyperlink r:id="rId14">
        <w:r>
          <w:rPr>
            <w:color w:val="0000EE"/>
            <w:u w:val="single"/>
          </w:rPr>
          <w:t>https://www.hrc.org/press-releases/hrc-launches-2026-electoral-program</w:t>
        </w:r>
      </w:hyperlink>
      <w:r>
        <w:t xml:space="preserve"> - The Human Rights Campaign (HRC) launched its 2026 public education and engagement campaign, 'Let’s Get Free,' with a $15 million investment. The campaign focuses on flipping the U.S. House, making pro-equality gains in the Senate, expanding the number of openly LGBTQ+ elected officials, and opposing anti-LGBTQ+ ballot measures. It targets key congressional districts in Arizona, California, Michigan, New York, and Pennsylvania.</w:t>
      </w:r>
      <w:r/>
    </w:p>
    <w:p>
      <w:pPr>
        <w:pStyle w:val="ListNumber"/>
        <w:spacing w:line="240" w:lineRule="auto"/>
        <w:ind w:left="720"/>
      </w:pPr>
      <w:r/>
      <w:hyperlink r:id="rId10">
        <w:r>
          <w:rPr>
            <w:color w:val="0000EE"/>
            <w:u w:val="single"/>
          </w:rPr>
          <w:t>https://www.washingtonpost.com/politics/2026/04/21/human-rights-campaign-midterm-elections-lgbtq/9f657508-3d6b-11f1-bb46-ed564688d953_story.html</w:t>
        </w:r>
      </w:hyperlink>
      <w:r>
        <w:t xml:space="preserve"> - The Human Rights Campaign (HRC) is investing $15 million to target Republican candidates in battleground districts ahead of the 2026 midterm elections. This initiative aims to shift the momentum towards a pro-equality majority, addressing recent setbacks in LGBTQ+ rights. HRC President Kelley Robinson emphasised the significance of this election in advancing the fight for equality.</w:t>
      </w:r>
      <w:r/>
    </w:p>
    <w:p>
      <w:pPr>
        <w:pStyle w:val="ListNumber"/>
        <w:spacing w:line="240" w:lineRule="auto"/>
        <w:ind w:left="720"/>
      </w:pPr>
      <w:r/>
      <w:hyperlink r:id="rId13">
        <w:r>
          <w:rPr>
            <w:color w:val="0000EE"/>
            <w:u w:val="single"/>
          </w:rPr>
          <w:t>https://www.hrc.org/resources/lgbtq-voters-political-and-civic-engagement</w:t>
        </w:r>
      </w:hyperlink>
      <w:r>
        <w:t xml:space="preserve"> - Research from the HRC Foundation's Community Insights programme indicates that LGBTQ+ registered voters are highly engaged in civic life and preparing to participate actively in the 2026 midterm elections. Compared to non-LGBTQ+ voters, they report higher intent to vote, greater levels of civic participation beyond voting, and increased concern about potential barriers to voting access.</w:t>
      </w:r>
      <w:r/>
    </w:p>
    <w:p>
      <w:pPr>
        <w:pStyle w:val="ListNumber"/>
        <w:spacing w:line="240" w:lineRule="auto"/>
        <w:ind w:left="720"/>
      </w:pPr>
      <w:r/>
      <w:hyperlink r:id="rId12">
        <w:r>
          <w:rPr>
            <w:color w:val="0000EE"/>
            <w:u w:val="single"/>
          </w:rPr>
          <w:t>https://www.hrw.org/world-report/2026/country-chapters/united-states</w:t>
        </w:r>
      </w:hyperlink>
      <w:r>
        <w:t xml:space="preserve"> - Human Rights Watch's 2026 World Report highlights ongoing challenges for LGBTQ+ individuals in the United States. The report details actions by the current administration that have escalated attacks on transgender communities, including executive actions that prohibit government use of the term 'gender,' narrowly define sex as assigned at birth, and restrict support for gender-affirming care for youth.</w:t>
      </w:r>
      <w:r/>
    </w:p>
    <w:p>
      <w:pPr>
        <w:pStyle w:val="ListNumber"/>
        <w:spacing w:line="240" w:lineRule="auto"/>
        <w:ind w:left="720"/>
      </w:pPr>
      <w:r/>
      <w:hyperlink r:id="rId11">
        <w:r>
          <w:rPr>
            <w:color w:val="0000EE"/>
            <w:u w:val="single"/>
          </w:rPr>
          <w:t>https://www.washingtonpost.com/national/2026/02/22/transgender-rights-drivers-licenses-birth-certificates-bathrooms/4a493a86-0fef-11f1-8e8d-fe91db44677b_story.html/</w:t>
        </w:r>
      </w:hyperlink>
      <w:r>
        <w:t xml:space="preserve"> - Kansas has enacted a new law that invalidates approximately 1,700 driver's licenses and birth certificates held by transgender residents. This legislation prevents transgender individuals from changing their gender markers on official documents and imposes strict enforcement provisions on state restrictions regarding bathroom use, marking a significant step in denying transgender identities in official records.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culture/pride-month-midterm-election-lgbtq-community-vote-op-ed/" TargetMode="External"/><Relationship Id="rId10" Type="http://schemas.openxmlformats.org/officeDocument/2006/relationships/hyperlink" Target="https://www.washingtonpost.com/politics/2026/04/21/human-rights-campaign-midterm-elections-lgbtq/9f657508-3d6b-11f1-bb46-ed564688d953_story.html" TargetMode="External"/><Relationship Id="rId11" Type="http://schemas.openxmlformats.org/officeDocument/2006/relationships/hyperlink" Target="https://www.washingtonpost.com/national/2026/02/22/transgender-rights-drivers-licenses-birth-certificates-bathrooms/4a493a86-0fef-11f1-8e8d-fe91db44677b_story.html/" TargetMode="External"/><Relationship Id="rId12" Type="http://schemas.openxmlformats.org/officeDocument/2006/relationships/hyperlink" Target="https://www.hrw.org/world-report/2026/country-chapters/united-states" TargetMode="External"/><Relationship Id="rId13" Type="http://schemas.openxmlformats.org/officeDocument/2006/relationships/hyperlink" Target="https://www.hrc.org/resources/lgbtq-voters-political-and-civic-engagement" TargetMode="External"/><Relationship Id="rId14" Type="http://schemas.openxmlformats.org/officeDocument/2006/relationships/hyperlink" Target="https://www.hrc.org/press-releases/hrc-launches-2026-electoral-program" TargetMode="External"/><Relationship Id="rId15" Type="http://schemas.openxmlformats.org/officeDocument/2006/relationships/hyperlink" Target="https://www.congress.gov/bill/119th-congress/senate-resolution/604/t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