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Reappraisal of Homophobia’s Origins: The Queer Thing About Sin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ideas are turning to new histories that ask why homophobia arises; Harry Tanner’s The Queer Thing About Sin looks back to ancient Mesopotamia, Egypt, Greece and Rome to show that inequality, fear and a cult of self-control together breed anti‑queer attitudes , and why that matters today.</w:t>
      </w:r>
      <w:r/>
    </w:p>
    <w:p>
      <w:r/>
      <w:r>
        <w:t>Essential Takeaways</w:t>
      </w:r>
      <w:r/>
      <w:r/>
    </w:p>
    <w:p>
      <w:pPr>
        <w:pStyle w:val="ListBullet"/>
        <w:spacing w:line="240" w:lineRule="auto"/>
        <w:ind w:left="720"/>
      </w:pPr>
      <w:r/>
      <w:r>
        <w:rPr>
          <w:b/>
        </w:rPr>
        <w:t>Core claim:</w:t>
      </w:r>
      <w:r>
        <w:t xml:space="preserve"> Homophobia often spikes when societies face acute inequality, fear and an obsession with self‑control, not simply from religious doctrine.</w:t>
      </w:r>
      <w:r/>
    </w:p>
    <w:p>
      <w:pPr>
        <w:pStyle w:val="ListBullet"/>
        <w:spacing w:line="240" w:lineRule="auto"/>
        <w:ind w:left="720"/>
      </w:pPr>
      <w:r/>
      <w:r>
        <w:rPr>
          <w:b/>
        </w:rPr>
        <w:t>Ancient evidence:</w:t>
      </w:r>
      <w:r>
        <w:t xml:space="preserve"> Positive portrayals of same‑sex relationships are more common in periods of relative equality; hostility grows with crises and elite consolidation.</w:t>
      </w:r>
      <w:r/>
    </w:p>
    <w:p>
      <w:pPr>
        <w:pStyle w:val="ListBullet"/>
        <w:spacing w:line="240" w:lineRule="auto"/>
        <w:ind w:left="720"/>
      </w:pPr>
      <w:r/>
      <w:r>
        <w:rPr>
          <w:b/>
        </w:rPr>
        <w:t>Classical continuity:</w:t>
      </w:r>
      <w:r>
        <w:t xml:space="preserve"> Stoic and Hellenistic ideas about self‑restraint fed Roman anxieties that linked male virtue with control and power.</w:t>
      </w:r>
      <w:r/>
    </w:p>
    <w:p>
      <w:pPr>
        <w:pStyle w:val="ListBullet"/>
        <w:spacing w:line="240" w:lineRule="auto"/>
        <w:ind w:left="720"/>
      </w:pPr>
      <w:r/>
      <w:r>
        <w:rPr>
          <w:b/>
        </w:rPr>
        <w:t>Scriptural context:</w:t>
      </w:r>
      <w:r>
        <w:t xml:space="preserve"> Passages that proscribe same‑sex acts appear within laws about purity and national cohesion, and later merge with Greco‑Roman moral thought.</w:t>
      </w:r>
      <w:r/>
    </w:p>
    <w:p>
      <w:pPr>
        <w:pStyle w:val="ListBullet"/>
        <w:spacing w:line="240" w:lineRule="auto"/>
        <w:ind w:left="720"/>
      </w:pPr>
      <w:r/>
      <w:r>
        <w:rPr>
          <w:b/>
        </w:rPr>
        <w:t>Modern echo:</w:t>
      </w:r>
      <w:r>
        <w:t xml:space="preserve"> Tanner argues that patterns of scapegoating and moral panic from antiquity reappear in contemporary political and cultural disputes.</w:t>
      </w:r>
      <w:r/>
      <w:r/>
    </w:p>
    <w:p>
      <w:pPr>
        <w:pStyle w:val="Heading2"/>
      </w:pPr>
      <w:r>
        <w:t>A clear thesis with a vivid premise</w:t>
      </w:r>
      <w:r/>
    </w:p>
    <w:p>
      <w:r/>
      <w:r>
        <w:t>Tanner opens with a sharp observation: surviving references to same‑sex acts don’t equal acceptance, and our picture of antiquity has been filtered through later interpreters. That sensory truth , dusty tablets, fragmentary poems, a librarian’s ink‑faded marginalia , underlines his caution. According to the review, Tanner insists we treat fragments as fragments and read the social context into them. This sets the tone: the book is scholarly but written to be read, and it wants you to think about why societies single out sexual behaviour at particular historical moments.</w:t>
      </w:r>
      <w:r/>
    </w:p>
    <w:p>
      <w:pPr>
        <w:pStyle w:val="Heading2"/>
      </w:pPr>
      <w:r>
        <w:t>When equality loosens stigma , and crisis tightens it</w:t>
      </w:r>
      <w:r/>
    </w:p>
    <w:p>
      <w:r/>
      <w:r>
        <w:t>Tanner takes us first to Archaic Greece, stopping at Megara rather than Athens, to show how narrower wealth gaps and public investment coincided with more celebratory depictions of same‑sex love. The pattern is tidy: poets sing of affection in times when elites don’t dominate every resource, while wars and economic shocks precede moral crackdowns. Historians and popular pieces on ancient Greece suggest similar links, and Tanner uses them to argue that homophobia is often a reaction to inequality and instability, not an inevitable cultural constant.</w:t>
      </w:r>
      <w:r/>
    </w:p>
    <w:p>
      <w:pPr>
        <w:pStyle w:val="Heading2"/>
      </w:pPr>
      <w:r>
        <w:t>Self‑control, economics and the criminalising of pleasure</w:t>
      </w:r>
      <w:r/>
    </w:p>
    <w:p>
      <w:r/>
      <w:r>
        <w:t>By the fifth century BCE, Athens had suffered costly wars and widening social divides; self‑restraint becomes a civic virtue and sexual pleasure gets framed as a lack of discipline. Tanner tracks how treatises connecting household management to virtue , the roots of the word economics , helped moralise desire. The result was a political language that used accusations of sexual impropriety to discredit rivals. This isn’t just classical hair‑splitting: it’s an early example of a recurring tactic where private conduct becomes public ammunition.</w:t>
      </w:r>
      <w:r/>
    </w:p>
    <w:p>
      <w:pPr>
        <w:pStyle w:val="Heading2"/>
      </w:pPr>
      <w:r>
        <w:t>Rome, masculinity and political weaponisation</w:t>
      </w:r>
      <w:r/>
    </w:p>
    <w:p>
      <w:r/>
      <w:r>
        <w:t>The book then follows attitudes into Imperial Rome, where Stoic ideals of control meet a harsher, more performative masculinity. Tanner argues that stories of emperors and magistrates with same‑sex partners were told, exaggerated or weaponised to attack authority figures. Ancient Rome’s record, as modern summaries of Roman homosexuality show, reveals a mix of behaviour and rhetorical use that ultimately ties sexual conduct to power and corruption. Tanner’s account suggests the modern smear‑job strategy has very old roots.</w:t>
      </w:r>
      <w:r/>
    </w:p>
    <w:p>
      <w:pPr>
        <w:pStyle w:val="Heading2"/>
      </w:pPr>
      <w:r>
        <w:t>Scripture, purity laws and the making of doctrine</w:t>
      </w:r>
      <w:r/>
    </w:p>
    <w:p>
      <w:r/>
      <w:r>
        <w:t>Finally Tanner traces how Hebrew purity laws, Hellenistic Jewish writing and Greco‑Roman moralism fused into the Judaeo‑Christian package that later undergirded church attitudes. He reads prohibitions about sexual acts as part of wider purity and national‑cohesion concerns, not stand‑alone moral pronouncements. When these texts became authoritative within a Romanising Christianity, they reinforced the earlier classical anxieties about order and control. Tanner reminds readers that scripture didn’t emerge in a vacuum; it converged with social and philosophical currents.</w:t>
      </w:r>
      <w:r/>
    </w:p>
    <w:p>
      <w:pPr>
        <w:pStyle w:val="Heading2"/>
      </w:pPr>
      <w:r>
        <w:t>Why this matters now , and what to do with the idea</w:t>
      </w:r>
      <w:r/>
    </w:p>
    <w:p>
      <w:r/>
      <w:r>
        <w:t>Tanner’s thesis matters because the same structural ingredients he names , inequality, fear and the rhetoric of self‑control , are present in many contemporary debates over queer rights. If homophobia is often a symptom of social stress rather than merely theological doctrine, the remedy can include economic and civic reforms alongside cultural work. Practical takeaway: activists and policymakers should recognise the economic and political roots of moral panics, address structural inequality, and resist narratives that conflate private life with public virtue.</w:t>
      </w:r>
      <w:r/>
    </w:p>
    <w:p>
      <w:r/>
      <w:r>
        <w:t>It's a small change that can make every argument about rights feel a little less like moral panic and a little more like social policy.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1">
        <w:r>
          <w:rPr>
            <w:color w:val="0000EE"/>
            <w:u w:val="single"/>
          </w:rPr>
          <w:t>[7]</w:t>
        </w:r>
      </w:hyperlink>
      <w:r>
        <w:t xml:space="preserve">- Paragraph 4: </w:t>
      </w:r>
      <w:hyperlink r:id="rId13">
        <w:r>
          <w:rPr>
            <w:color w:val="0000EE"/>
            <w:u w:val="single"/>
          </w:rPr>
          <w:t>[3]</w:t>
        </w:r>
      </w:hyperlink>
      <w:r>
        <w:t xml:space="preserve">, </w:t>
      </w:r>
      <w:hyperlink r:id="rId11">
        <w:r>
          <w:rPr>
            <w:color w:val="0000EE"/>
            <w:u w:val="single"/>
          </w:rPr>
          <w:t>[7]</w:t>
        </w:r>
      </w:hyperlink>
      <w:r>
        <w:t xml:space="preserve">- Paragraph 5: </w:t>
      </w:r>
      <w:hyperlink r:id="rId14">
        <w:r>
          <w:rPr>
            <w:color w:val="0000EE"/>
            <w:u w:val="single"/>
          </w:rPr>
          <w:t>[4]</w:t>
        </w:r>
      </w:hyperlink>
      <w:r>
        <w:t xml:space="preserve">, </w:t>
      </w:r>
      <w:hyperlink r:id="rId15">
        <w:r>
          <w:rPr>
            <w:color w:val="0000EE"/>
            <w:u w:val="single"/>
          </w:rPr>
          <w:t>[6]</w:t>
        </w:r>
      </w:hyperlink>
      <w:r>
        <w:t xml:space="preserve">- Paragraph 6: </w:t>
      </w:r>
      <w:hyperlink r:id="rId11">
        <w:r>
          <w:rPr>
            <w:color w:val="0000EE"/>
            <w:u w:val="single"/>
          </w:rPr>
          <w:t>[7]</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https://outinprintblog.wordpress.com/2026/06/22/the-queer-thing-about-sin-harry-tanner-bloomsbury-publishing/</w:t>
        </w:r>
      </w:hyperlink>
      <w:r>
        <w:t xml:space="preserve"> - Please view link - unable to able to access data</w:t>
      </w:r>
      <w:r/>
    </w:p>
    <w:p>
      <w:pPr>
        <w:pStyle w:val="ListNumber"/>
        <w:spacing w:line="240" w:lineRule="auto"/>
        <w:ind w:left="720"/>
      </w:pPr>
      <w:r/>
      <w:hyperlink r:id="rId10">
        <w:r>
          <w:rPr>
            <w:color w:val="0000EE"/>
            <w:u w:val="single"/>
          </w:rPr>
          <w:t>https://en.wikipedia.org/wiki/Homosexuality_in_ancient_Greece</w:t>
        </w:r>
      </w:hyperlink>
      <w:r>
        <w:t xml:space="preserve"> - This article explores the presence and societal perceptions of homosexuality in ancient Greece, highlighting the varying attitudes across different city-states and periods. It discusses the cultural and social contexts that influenced these perceptions, including the roles of prominent philosophers and the evolution of laws and norms regarding same-sex relationships.</w:t>
      </w:r>
      <w:r/>
    </w:p>
    <w:p>
      <w:pPr>
        <w:pStyle w:val="ListNumber"/>
        <w:spacing w:line="240" w:lineRule="auto"/>
        <w:ind w:left="720"/>
      </w:pPr>
      <w:r/>
      <w:hyperlink r:id="rId13">
        <w:r>
          <w:rPr>
            <w:color w:val="0000EE"/>
            <w:u w:val="single"/>
          </w:rPr>
          <w:t>https://en.wikipedia.org/wiki/Homosexuality_in_ancient_Rome</w:t>
        </w:r>
      </w:hyperlink>
      <w:r>
        <w:t xml:space="preserve"> - This entry examines the complex nature of same-sex relationships in ancient Rome, detailing the social hierarchies and power dynamics that shaped these interactions. It also addresses the legal and moral frameworks that influenced Roman attitudes towards homosexuality, providing insights into how these relationships were perceived and regulated.</w:t>
      </w:r>
      <w:r/>
    </w:p>
    <w:p>
      <w:pPr>
        <w:pStyle w:val="ListNumber"/>
        <w:spacing w:line="240" w:lineRule="auto"/>
        <w:ind w:left="720"/>
      </w:pPr>
      <w:r/>
      <w:hyperlink r:id="rId14">
        <w:r>
          <w:rPr>
            <w:color w:val="0000EE"/>
            <w:u w:val="single"/>
          </w:rPr>
          <w:t>https://en.wikipedia.org/wiki/Homosexuality_in_ancient_Egypt</w:t>
        </w:r>
      </w:hyperlink>
      <w:r>
        <w:t xml:space="preserve"> - This article investigates the evidence and scholarly interpretations of same-sex relationships in ancient Egypt. It delves into the cultural and religious contexts that may have influenced these relationships, highlighting the challenges in interpreting the available sources and the debates among scholars regarding the nature of these interactions.</w:t>
      </w:r>
      <w:r/>
    </w:p>
    <w:p>
      <w:pPr>
        <w:pStyle w:val="ListNumber"/>
        <w:spacing w:line="240" w:lineRule="auto"/>
        <w:ind w:left="720"/>
      </w:pPr>
      <w:r/>
      <w:hyperlink r:id="rId12">
        <w:r>
          <w:rPr>
            <w:color w:val="0000EE"/>
            <w:u w:val="single"/>
          </w:rPr>
          <w:t>https://www.researchgate.net/publication/349874035_Homoseksualizm_w_starozytnej_Mezopotamii_Przeglad_zrodel</w:t>
        </w:r>
      </w:hyperlink>
      <w:r>
        <w:t xml:space="preserve"> - This scholarly paper provides a comprehensive review of sources related to homosexuality in ancient Mesopotamia. It discusses the rarity and social implications of same-sex relationships, the legal and moral perspectives, and the role of sacred prostitution within the Inanna/Ishtar cult, offering a nuanced understanding of the topic.</w:t>
      </w:r>
      <w:r/>
    </w:p>
    <w:p>
      <w:pPr>
        <w:pStyle w:val="ListNumber"/>
        <w:spacing w:line="240" w:lineRule="auto"/>
        <w:ind w:left="720"/>
      </w:pPr>
      <w:r/>
      <w:hyperlink r:id="rId15">
        <w:r>
          <w:rPr>
            <w:color w:val="0000EE"/>
            <w:u w:val="single"/>
          </w:rPr>
          <w:t>https://www.oeaw.ac.at/en/oeai/media/news-archive/news-detail/queerness-in-ancient-egypt</w:t>
        </w:r>
      </w:hyperlink>
      <w:r>
        <w:t xml:space="preserve"> - This article explores the understanding of sexuality and queerness in ancient Egypt, discussing how gender and sexual identities were perceived and the societal roles they played. It examines archaeological findings and scholarly interpretations to shed light on the complexities of ancient Egyptian views on sexuality and gender.</w:t>
      </w:r>
      <w:r/>
    </w:p>
    <w:p>
      <w:pPr>
        <w:pStyle w:val="ListNumber"/>
        <w:spacing w:line="240" w:lineRule="auto"/>
        <w:ind w:left="720"/>
      </w:pPr>
      <w:r/>
      <w:hyperlink r:id="rId11">
        <w:r>
          <w:rPr>
            <w:color w:val="0000EE"/>
            <w:u w:val="single"/>
          </w:rPr>
          <w:t>https://www.worldhistory.org/article/1790/lgbtq-in-the-ancient-world/</w:t>
        </w:r>
      </w:hyperlink>
      <w:r>
        <w:t xml:space="preserve"> - This article provides an overview of LGBTQ+ relationships in the ancient world, focusing on Mesopotamia, Egypt, Greece, and Rome. It discusses the cultural, social, and legal aspects of same-sex relationships in these societies, highlighting the diversity of experiences and the varying degrees of acceptance and regulation.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utinprintblog.wordpress.com/2026/06/22/the-queer-thing-about-sin-harry-tanner-bloomsbury-publishing/" TargetMode="External"/><Relationship Id="rId10" Type="http://schemas.openxmlformats.org/officeDocument/2006/relationships/hyperlink" Target="https://en.wikipedia.org/wiki/Homosexuality_in_ancient_Greece" TargetMode="External"/><Relationship Id="rId11" Type="http://schemas.openxmlformats.org/officeDocument/2006/relationships/hyperlink" Target="https://www.worldhistory.org/article/1790/lgbtq-in-the-ancient-world/" TargetMode="External"/><Relationship Id="rId12" Type="http://schemas.openxmlformats.org/officeDocument/2006/relationships/hyperlink" Target="https://www.researchgate.net/publication/349874035_Homoseksualizm_w_starozytnej_Mezopotamii_Przeglad_zrodel" TargetMode="External"/><Relationship Id="rId13" Type="http://schemas.openxmlformats.org/officeDocument/2006/relationships/hyperlink" Target="https://en.wikipedia.org/wiki/Homosexuality_in_ancient_Rome" TargetMode="External"/><Relationship Id="rId14" Type="http://schemas.openxmlformats.org/officeDocument/2006/relationships/hyperlink" Target="https://en.wikipedia.org/wiki/Homosexuality_in_ancient_Egypt" TargetMode="External"/><Relationship Id="rId15" Type="http://schemas.openxmlformats.org/officeDocument/2006/relationships/hyperlink" Target="https://www.oeaw.ac.at/en/oeai/media/news-archive/news-detail/queerness-in-ancient-egyp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