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Reads: Why Clinical Research Is Activism for LGBTQ+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alike are turning their attention to how research shapes care: clinicians and community leaders say clinical trials are a form of activism that matters for LGBTQ+ people, especially now that federal support is fragile and visibility in studies is still patchy.</w:t>
      </w:r>
      <w:r/>
    </w:p>
    <w:p>
      <w:r/>
      <w:r>
        <w:t>Essential Takeaways</w:t>
      </w:r>
      <w:r/>
      <w:r/>
    </w:p>
    <w:p>
      <w:pPr>
        <w:pStyle w:val="ListBullet"/>
        <w:spacing w:line="240" w:lineRule="auto"/>
        <w:ind w:left="720"/>
      </w:pPr>
      <w:r/>
      <w:r>
        <w:rPr>
          <w:b/>
        </w:rPr>
        <w:t>Historic change:</w:t>
      </w:r>
      <w:r>
        <w:t xml:space="preserve"> Activists in the 1980s reshaped FDA processes, speeding access to lifesaving medicines and giving patients a seat at the table. </w:t>
      </w:r>
      <w:r/>
    </w:p>
    <w:p>
      <w:pPr>
        <w:pStyle w:val="ListBullet"/>
        <w:spacing w:line="240" w:lineRule="auto"/>
        <w:ind w:left="720"/>
      </w:pPr>
      <w:r/>
      <w:r>
        <w:rPr>
          <w:b/>
        </w:rPr>
        <w:t>Funding under pressure:</w:t>
      </w:r>
      <w:r>
        <w:t xml:space="preserve"> Recent federal actions cut or threatened LGBTQ+ health grants, putting infrastructure and ongoing studies at risk. </w:t>
      </w:r>
      <w:r/>
    </w:p>
    <w:p>
      <w:pPr>
        <w:pStyle w:val="ListBullet"/>
        <w:spacing w:line="240" w:lineRule="auto"/>
        <w:ind w:left="720"/>
      </w:pPr>
      <w:r/>
      <w:r>
        <w:rPr>
          <w:b/>
        </w:rPr>
        <w:t>Evidence gaps hurt care:</w:t>
      </w:r>
      <w:r>
        <w:t xml:space="preserve"> Major fields, such as cardiology and oncology, rarely report sexual orientation or gender identity, leaving care blind to key needs. </w:t>
      </w:r>
      <w:r/>
    </w:p>
    <w:p>
      <w:pPr>
        <w:pStyle w:val="ListBullet"/>
        <w:spacing w:line="240" w:lineRule="auto"/>
        <w:ind w:left="720"/>
      </w:pPr>
      <w:r/>
      <w:r>
        <w:rPr>
          <w:b/>
        </w:rPr>
        <w:t>Community sites matter:</w:t>
      </w:r>
      <w:r>
        <w:t xml:space="preserve"> Clinics embedded in LGBTQ+ communities can increase trust, recruitment and relevant study design. </w:t>
      </w:r>
      <w:r/>
    </w:p>
    <w:p>
      <w:pPr>
        <w:pStyle w:val="ListBullet"/>
        <w:spacing w:line="240" w:lineRule="auto"/>
        <w:ind w:left="720"/>
      </w:pPr>
      <w:r/>
      <w:r>
        <w:rPr>
          <w:b/>
        </w:rPr>
        <w:t>Participation as service:</w:t>
      </w:r>
      <w:r>
        <w:t xml:space="preserve"> Many trial volunteers enrol out of altruism, continuing a legacy of activism through everyday choices.</w:t>
      </w:r>
      <w:r/>
      <w:r/>
    </w:p>
    <w:p>
      <w:pPr>
        <w:pStyle w:val="Heading2"/>
      </w:pPr>
      <w:r>
        <w:t>A movement that changed medicine , and still speaks today</w:t>
      </w:r>
      <w:r/>
    </w:p>
    <w:p>
      <w:r/>
      <w:r>
        <w:t>The strongest fact is simple: patient activism rewired how medicines are reviewed and approved, and that legacy still benefits us. According to public histories of the period, protests and organised pressure in the 1980s pushed the FDA to adopt faster pathways and to invite patient voices into advisory meetings. The change had a human rhythm , slow policy debates punctuated by bold public action , and it left clinical research more responsive to urgent need. For LGBTQ+ people, that history is both a point of pride and a reminder: advocacy moved the needle once, and it can again.</w:t>
      </w:r>
      <w:r/>
    </w:p>
    <w:p>
      <w:pPr>
        <w:pStyle w:val="Heading2"/>
      </w:pPr>
      <w:r>
        <w:t>When funding is on shaky ground, so is progress</w:t>
      </w:r>
      <w:r/>
    </w:p>
    <w:p>
      <w:r/>
      <w:r>
        <w:t>There’s a visible churn in federal support for sexual and gender minority research, and that has consequences for what gets studied and who benefits. Reports detail cancelled or reduced grants that targeted LGBTQ+ health, creating holes in long-term studies and community programmes. Clinics that had started building research programmes now face uncertainty about whether studies will continue, which affects patients and staff alike. The practical tip here is clear: sites and sponsors need contingency plans and diversified funding to keep community trials alive through political cycles.</w:t>
      </w:r>
      <w:r/>
    </w:p>
    <w:p>
      <w:pPr>
        <w:pStyle w:val="Heading2"/>
      </w:pPr>
      <w:r>
        <w:t>Why visibility in trials changes outcomes</w:t>
      </w:r>
      <w:r/>
    </w:p>
    <w:p>
      <w:r/>
      <w:r>
        <w:t>It’s striking how often sexual orientation and gender identity are absent from high-profile research. Reviews of top cardiovascular trials find almost no reporting of these measures, and reviews of cancer care note worse outcomes for LGBTQ+ patients but little explanation. That invisibility isn’t neutral , it shapes screening guidance, treatment choices and survivorship care. If you’re choosing a trial or a clinic, ask whether they collect and report SOGI data, and whether protocols include measures that reflect the lived experience of LGBTQ+ patients.</w:t>
      </w:r>
      <w:r/>
    </w:p>
    <w:p>
      <w:pPr>
        <w:pStyle w:val="Heading2"/>
      </w:pPr>
      <w:r>
        <w:t>Community clinics turning research into care</w:t>
      </w:r>
      <w:r/>
    </w:p>
    <w:p>
      <w:r/>
      <w:r>
        <w:t>Places with deep roots in LGBTQ+ communities are uniquely well placed to run trials that matter. A long-standing community health centre, for example, already has trusting relationships, culturally competent staff, and a patient population that sees itself reflected in services. Those strengths make recruitment easier and retention higher, and they help ensure studies ask the right questions. For sponsors, the takeaway is to partner early with community sites and to design protocols that build benefit into each visit , small changes like sexual wellness advice or safety checks can make a big difference.</w:t>
      </w:r>
      <w:r/>
    </w:p>
    <w:p>
      <w:pPr>
        <w:pStyle w:val="Heading2"/>
      </w:pPr>
      <w:r>
        <w:t>Participation as activism , and how to honour it</w:t>
      </w:r>
      <w:r/>
    </w:p>
    <w:p>
      <w:r/>
      <w:r>
        <w:t>Many participants enrol because they want to help others, a quiet form of activism that echoes louder campaigns from the past. That reality should shape how researchers treat volunteers: with respect, clear communication, and tangible benefits beyond the trial endpoint. Practical steps for teams include transparent consent processes, community advisory boards, and follow-up that shares results with participants. As researchers, clinicians and funders adapt, they can carry forward the activist impulse by designing studies around the needs of those most affected.</w:t>
      </w:r>
      <w:r/>
    </w:p>
    <w:p>
      <w:r/>
      <w:r>
        <w:t>It's a small change that can make every study more equitable.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14">
        <w:r>
          <w:rPr>
            <w:color w:val="0000EE"/>
            <w:u w:val="single"/>
          </w:rPr>
          <w:t>[3]</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https://acrpnet.org/2026/06/22/pride-month-clinical-research-as-activism</w:t>
        </w:r>
      </w:hyperlink>
      <w:r>
        <w:t xml:space="preserve"> - Please view link - unable to able to access data</w:t>
      </w:r>
      <w:r/>
    </w:p>
    <w:p>
      <w:pPr>
        <w:pStyle w:val="ListNumber"/>
        <w:spacing w:line="240" w:lineRule="auto"/>
        <w:ind w:left="720"/>
      </w:pPr>
      <w:r/>
      <w:hyperlink r:id="rId10">
        <w:r>
          <w:rPr>
            <w:color w:val="0000EE"/>
            <w:u w:val="single"/>
          </w:rPr>
          <w:t>https://www.fda.gov/advisory-committees</w:t>
        </w:r>
      </w:hyperlink>
      <w:r>
        <w:t xml:space="preserve"> - The FDA's Advisory Committees provide independent expert advice on scientific, technical, and policy matters. These committees, comprising scientific experts and members of the public, play a crucial role in the FDA's decision-making process, especially concerning the safety and efficacy of medical products. Their recommendations are vital for the FDA to make informed decisions that protect and promote public health.</w:t>
      </w:r>
      <w:r/>
    </w:p>
    <w:p>
      <w:pPr>
        <w:pStyle w:val="ListNumber"/>
        <w:spacing w:line="240" w:lineRule="auto"/>
        <w:ind w:left="720"/>
      </w:pPr>
      <w:r/>
      <w:hyperlink r:id="rId14">
        <w:r>
          <w:rPr>
            <w:color w:val="0000EE"/>
            <w:u w:val="single"/>
          </w:rPr>
          <w:t>https://www.fda.gov/advisory-committees/committees-and-meeting-materials</w:t>
        </w:r>
      </w:hyperlink>
      <w:r>
        <w:t xml:space="preserve"> - The FDA maintains a comprehensive list of its advisory committees, detailing their functions, meeting materials, and membership. This resource offers insights into the various committees' roles in supporting the FDA's mission, including their involvement in reviewing and evaluating medical products and public health issues.</w:t>
      </w:r>
      <w:r/>
    </w:p>
    <w:p>
      <w:pPr>
        <w:pStyle w:val="ListNumber"/>
        <w:spacing w:line="240" w:lineRule="auto"/>
        <w:ind w:left="720"/>
      </w:pPr>
      <w:r/>
      <w:hyperlink r:id="rId11">
        <w:r>
          <w:rPr>
            <w:color w:val="0000EE"/>
            <w:u w:val="single"/>
          </w:rPr>
          <w:t>https://www.fda.gov/advisory-committees/committees-and-meeting-materials/human-drug-advisory-committees</w:t>
        </w:r>
      </w:hyperlink>
      <w:r>
        <w:t xml:space="preserve"> - This section of the FDA's website focuses on advisory committees related to human drugs. It provides information on committee membership, meeting calendars, and materials, highlighting the committees' roles in advising the FDA on drug development, use, and evaluation.</w:t>
      </w:r>
      <w:r/>
    </w:p>
    <w:p>
      <w:pPr>
        <w:pStyle w:val="ListNumber"/>
        <w:spacing w:line="240" w:lineRule="auto"/>
        <w:ind w:left="720"/>
      </w:pPr>
      <w:r/>
      <w:hyperlink r:id="rId13">
        <w:r>
          <w:rPr>
            <w:color w:val="0000EE"/>
            <w:u w:val="single"/>
          </w:rPr>
          <w:t>https://www.fda.gov/advisory-committees/committees-and-meeting-materials/blood-vaccines-and-other-biologics</w:t>
        </w:r>
      </w:hyperlink>
      <w:r>
        <w:t xml:space="preserve"> - This page details the FDA's advisory committees related to blood, vaccines, and other biologics. It includes information on committee membership, meeting materials, and their functions in advising the FDA on matters concerning biologics and related products.</w:t>
      </w:r>
      <w:r/>
    </w:p>
    <w:p>
      <w:pPr>
        <w:pStyle w:val="ListNumber"/>
        <w:spacing w:line="240" w:lineRule="auto"/>
        <w:ind w:left="720"/>
      </w:pPr>
      <w:r/>
      <w:hyperlink r:id="rId15">
        <w:r>
          <w:rPr>
            <w:color w:val="0000EE"/>
            <w:u w:val="single"/>
          </w:rPr>
          <w:t>https://www.fda.gov/advisory-committees/advisory-committee-calendar</w:t>
        </w:r>
      </w:hyperlink>
      <w:r>
        <w:t xml:space="preserve"> - The FDA's Advisory Committee Calendar provides notices of upcoming and past advisory committee meetings. It includes details such as meeting dates, times, locations, and topics of discussion, serving as a resource for stakeholders interested in the FDA's advisory processes.</w:t>
      </w:r>
      <w:r/>
    </w:p>
    <w:p>
      <w:pPr>
        <w:pStyle w:val="ListNumber"/>
        <w:spacing w:line="240" w:lineRule="auto"/>
        <w:ind w:left="720"/>
      </w:pPr>
      <w:r/>
      <w:hyperlink r:id="rId12">
        <w:r>
          <w:rPr>
            <w:color w:val="0000EE"/>
            <w:u w:val="single"/>
          </w:rPr>
          <w:t>https://www.lgbtqnation.com/2025/05/administration-sued-for-cutting-funding-for-lgbtq-health-research/</w:t>
        </w:r>
      </w:hyperlink>
      <w:r>
        <w:t xml:space="preserve"> - In May 2025, Lambda Legal, along with other law firms, filed a lawsuit against the National Institutes of Health (NIH) and the Department of Health and Human Services (HHS) for terminating over 100 grants related to LGBTQ+ health research. The lawsuit highlights concerns that these cuts could set back research on LGBTQ+ health by decades, affecting critical studies on HIV and other health disparities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crpnet.org/2026/06/22/pride-month-clinical-research-as-activism" TargetMode="External"/><Relationship Id="rId10" Type="http://schemas.openxmlformats.org/officeDocument/2006/relationships/hyperlink" Target="https://www.fda.gov/advisory-committees" TargetMode="External"/><Relationship Id="rId11" Type="http://schemas.openxmlformats.org/officeDocument/2006/relationships/hyperlink" Target="https://www.fda.gov/advisory-committees/committees-and-meeting-materials/human-drug-advisory-committees" TargetMode="External"/><Relationship Id="rId12" Type="http://schemas.openxmlformats.org/officeDocument/2006/relationships/hyperlink" Target="https://www.lgbtqnation.com/2025/05/administration-sued-for-cutting-funding-for-lgbtq-health-research/" TargetMode="External"/><Relationship Id="rId13" Type="http://schemas.openxmlformats.org/officeDocument/2006/relationships/hyperlink" Target="https://www.fda.gov/advisory-committees/committees-and-meeting-materials/blood-vaccines-and-other-biologics" TargetMode="External"/><Relationship Id="rId14" Type="http://schemas.openxmlformats.org/officeDocument/2006/relationships/hyperlink" Target="https://www.fda.gov/advisory-committees/committees-and-meeting-materials" TargetMode="External"/><Relationship Id="rId15" Type="http://schemas.openxmlformats.org/officeDocument/2006/relationships/hyperlink" Target="https://www.fda.gov/advisory-committees/advisory-committee-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