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Eating-Disorder Care for LGBTQIA+ People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clinicians are noticing a bigger need for safe, tailored eating-disorder care for LGBTQIA+ clients, especially during Pride. This piece looks at who’s at risk, where to find inclusive help, and practical ways clinicians and allies can create space that’s compassionate, competent and clinically sound.</w:t>
      </w:r>
      <w:r/>
    </w:p>
    <w:p>
      <w:r/>
      <w:r>
        <w:t>Essential Takeaways</w:t>
      </w:r>
      <w:r/>
      <w:r/>
    </w:p>
    <w:p>
      <w:pPr>
        <w:pStyle w:val="ListBullet"/>
        <w:spacing w:line="240" w:lineRule="auto"/>
        <w:ind w:left="720"/>
      </w:pPr>
      <w:r/>
      <w:r>
        <w:rPr>
          <w:b/>
        </w:rPr>
        <w:t>Higher risk:</w:t>
      </w:r>
      <w:r>
        <w:t xml:space="preserve"> LGBTQIA+ people face elevated rates of eating disorders, often driven by chronic stress, body dysphoria and minority stress. </w:t>
      </w:r>
      <w:r/>
    </w:p>
    <w:p>
      <w:pPr>
        <w:pStyle w:val="ListBullet"/>
        <w:spacing w:line="240" w:lineRule="auto"/>
        <w:ind w:left="720"/>
      </w:pPr>
      <w:r/>
      <w:r>
        <w:rPr>
          <w:b/>
        </w:rPr>
        <w:t>Specialist resources:</w:t>
      </w:r>
      <w:r>
        <w:t xml:space="preserve"> Dedicated programmes and clinicians exist, look to LGBTQIA+ specific services, conferences and supervised clinicians for expertise. </w:t>
      </w:r>
      <w:r/>
    </w:p>
    <w:p>
      <w:pPr>
        <w:pStyle w:val="ListBullet"/>
        <w:spacing w:line="240" w:lineRule="auto"/>
        <w:ind w:left="720"/>
      </w:pPr>
      <w:r/>
      <w:r>
        <w:rPr>
          <w:b/>
        </w:rPr>
        <w:t>Practical support:</w:t>
      </w:r>
      <w:r>
        <w:t xml:space="preserve"> Donate to or attend groups like Fed Up Collective, join continuing education, and use vetted guides to reduce weight stigma. </w:t>
      </w:r>
      <w:r/>
    </w:p>
    <w:p>
      <w:pPr>
        <w:pStyle w:val="ListBullet"/>
        <w:spacing w:line="240" w:lineRule="auto"/>
        <w:ind w:left="720"/>
      </w:pPr>
      <w:r/>
      <w:r>
        <w:rPr>
          <w:b/>
        </w:rPr>
        <w:t>Clinical threads to watch:</w:t>
      </w:r>
      <w:r>
        <w:t xml:space="preserve"> GLP-1 medications and the overlap between digestive disorders and eating disorders are active clinical concerns. </w:t>
      </w:r>
      <w:r/>
    </w:p>
    <w:p>
      <w:pPr>
        <w:pStyle w:val="ListBullet"/>
        <w:spacing w:line="240" w:lineRule="auto"/>
        <w:ind w:left="720"/>
      </w:pPr>
      <w:r/>
      <w:r>
        <w:rPr>
          <w:b/>
        </w:rPr>
        <w:t>Emotional cue:</w:t>
      </w:r>
      <w:r>
        <w:t xml:space="preserve"> Creating space means quieting urgency sometimes, rest and validation matter as much as treatment protocols.</w:t>
      </w:r>
      <w:r/>
      <w:r/>
    </w:p>
    <w:p>
      <w:pPr>
        <w:pStyle w:val="Heading2"/>
      </w:pPr>
      <w:r>
        <w:t>Why Pride highlights gaps in eating-disorder care</w:t>
      </w:r>
      <w:r/>
    </w:p>
    <w:p>
      <w:r/>
      <w:r>
        <w:t>Pride brings celebration, but it also shines a light on persistent healthcare gaps. According to advocacy groups and specialist programmes, LGBTQIA+ people report higher incidence of eating disorders than the general population, often tied to unsafe or invalidating environments. That chronic tension, feeling under siege over identity, appearance or access to gender-affirming care, feeds into disordered eating patterns and complicates recovery.</w:t>
      </w:r>
      <w:r/>
    </w:p>
    <w:p>
      <w:r/>
      <w:r>
        <w:t>Clinicians and services are responding with targeted offerings and training. National and regional centres now publish LGBTQIA+ guidance, and some clinics run dedicated tracks for queer and trans people. If you’re seeking care, start by asking whether a service has explicit LGBTQIA+ competency training and whether clinicians have experience with gender-affirming medical needs.</w:t>
      </w:r>
      <w:r/>
    </w:p>
    <w:p>
      <w:pPr>
        <w:pStyle w:val="Heading2"/>
      </w:pPr>
      <w:r>
        <w:t>Where to find truly inclusive support</w:t>
      </w:r>
      <w:r/>
    </w:p>
    <w:p>
      <w:r/>
      <w:r>
        <w:t>Not all services labelled “inclusive” are equal. Look for organisations that centre lived experience, BIPOC voices, and clinicians who openly discuss trans-competent care. National charities and specialised hubs list resources and referral pathways for queer and trans clients, and many run clinician training. Donating to community-led groups and attending workshops helps keep grassroots services afloat.</w:t>
      </w:r>
      <w:r/>
    </w:p>
    <w:p>
      <w:r/>
      <w:r>
        <w:t>For clinicians building competence, supervised consultation from experienced practitioners is invaluable. Conferences that foreground BIPOC and LGBTQIA+ perspectives are useful for both clinical technique and cultural humility. The aim is simple: join learning spaces that emphasise validation, not gatekeeping.</w:t>
      </w:r>
      <w:r/>
    </w:p>
    <w:p>
      <w:pPr>
        <w:pStyle w:val="Heading2"/>
      </w:pPr>
      <w:r>
        <w:t>Practical steps clinicians can take tomorrow</w:t>
      </w:r>
      <w:r/>
    </w:p>
    <w:p>
      <w:r/>
      <w:r>
        <w:t>Start with the clinical basics that also communicate safety. Use intake forms that allow for chosen names and pronouns, and avoid assumptions about bodies or relationships. Screen routinely for eating-disorder symptoms while also asking about gender dysphoria, minority stress and access to gender-affirming care. When weight or appearance comes up, work from a weight-neutral stance where appropriate and be explicit about reducing weight stigma.</w:t>
      </w:r>
      <w:r/>
    </w:p>
    <w:p>
      <w:r/>
      <w:r>
        <w:t>Supervision and consultation help clinicians hold complex, sometimes conflicting ethics, like balancing medical risk with a client’s lived priorities. If you’re unsure, seek colleagues who specialise in LGBTQIA+ care rather than guessing. Small changes, pronoun-friendly notes, visual cues of allyship in waiting rooms, referral lists of trans-competent providers, send a big message.</w:t>
      </w:r>
      <w:r/>
    </w:p>
    <w:p>
      <w:pPr>
        <w:pStyle w:val="Heading2"/>
      </w:pPr>
      <w:r>
        <w:t>The new clinical questions: GLP-1s and digestive overlap</w:t>
      </w:r>
      <w:r/>
    </w:p>
    <w:p>
      <w:r/>
      <w:r>
        <w:t>A hot topic in clinical circles is the rise of GLP-1 medications and what they mean for people at risk of or recovering from eating disorders. Clinicians are asking how these drugs affect appetite, body image and metabolic health in diverse patients, including trans people on gender-affirming hormones. It’s a knotty area that calls for cautious, evidence-informed discussion rather than dogma.</w:t>
      </w:r>
      <w:r/>
    </w:p>
    <w:p>
      <w:r/>
      <w:r>
        <w:t>Similarly, digestive disorders often intersect with disordered eating. Gastrointestinal symptoms can drive food avoidance, and restrictive behaviours can worsen gut health. Integrated care, where gastroenterologists, dietitians and mental-health teams coordinate, makes a practical difference, especially when all providers understand LGBTQIA+ realities.</w:t>
      </w:r>
      <w:r/>
    </w:p>
    <w:p>
      <w:pPr>
        <w:pStyle w:val="Heading2"/>
      </w:pPr>
      <w:r>
        <w:t>How allies and services can create space right now</w:t>
      </w:r>
      <w:r/>
    </w:p>
    <w:p>
      <w:r/>
      <w:r>
        <w:t>Creating space is both practical and relational. For clinicians, “space” means less pressure to constantly prove identity and more invitation to be seen. For allies, it means listening, funding community-led groups, and advocating for policy that protects trans and queer lives. Organisations should amplify BIPOC and queer-led voices and centre lived experience in programme design.</w:t>
      </w:r>
      <w:r/>
    </w:p>
    <w:p>
      <w:r/>
      <w:r>
        <w:t>Rest matters too. The people who provide care need respite or they risk burnout, which shrinks the very spaces clients rely on. Encouraging clinicians to step back responsibly, to consult peers, and to nurture restorative practices keeps services sustainable.</w:t>
      </w:r>
      <w:r/>
    </w:p>
    <w:p>
      <w:r/>
      <w:r>
        <w:t>It's a small change that can make every care interaction safer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2">
        <w:r>
          <w:rPr>
            <w:color w:val="0000EE"/>
            <w:u w:val="single"/>
          </w:rPr>
          <w:t>[2]</w:t>
        </w:r>
      </w:hyperlink>
      <w:r>
        <w:t xml:space="preserve">- Paragraph 4: </w:t>
      </w:r>
      <w:hyperlink r:id="rId15">
        <w:r>
          <w:rPr>
            <w:color w:val="0000EE"/>
            <w:u w:val="single"/>
          </w:rPr>
          <w:t>[7]</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https://marcird.com/lgbtqia-eating-disorder-care/</w:t>
        </w:r>
      </w:hyperlink>
      <w:r>
        <w:t xml:space="preserve"> - Please view link - unable to able to access data</w:t>
      </w:r>
      <w:r/>
    </w:p>
    <w:p>
      <w:pPr>
        <w:pStyle w:val="ListNumber"/>
        <w:spacing w:line="240" w:lineRule="auto"/>
        <w:ind w:left="720"/>
      </w:pPr>
      <w:r/>
      <w:hyperlink r:id="rId12">
        <w:r>
          <w:rPr>
            <w:color w:val="0000EE"/>
            <w:u w:val="single"/>
          </w:rPr>
          <w:t>https://www.eatingrecoverycenter.com/resources/lgbtq</w:t>
        </w:r>
      </w:hyperlink>
      <w:r>
        <w:t xml:space="preserve"> - The Eating Recovery Center offers inclusive resources for the LGBTQ+ community, including free support groups, mental health resources, and information on treatment equity for eating disorders. They provide gender-affirming care resources to support individuals in their recovery journey, aiming to empower members of the LGBTQ+ community to live their values-based life with pride.</w:t>
      </w:r>
      <w:r/>
    </w:p>
    <w:p>
      <w:pPr>
        <w:pStyle w:val="ListNumber"/>
        <w:spacing w:line="240" w:lineRule="auto"/>
        <w:ind w:left="720"/>
      </w:pPr>
      <w:r/>
      <w:hyperlink r:id="rId10">
        <w:r>
          <w:rPr>
            <w:color w:val="0000EE"/>
            <w:u w:val="single"/>
          </w:rPr>
          <w:t>https://www.nationaleatingdisorders.org/eating-disorders-in-lgbtqia-populations/</w:t>
        </w:r>
      </w:hyperlink>
      <w:r>
        <w:t xml:space="preserve"> - The National Eating Disorders Association (NEDA) highlights that LGBTQIA+ individuals experience higher rates of eating disorders compared to their heterosexual and cisgender peers. Research indicates that transgender and nonbinary populations may be at greater risk. Unique stressors, such as experiences of rejection and fear of rejection, contribute to the development of eating disorders in these communities.</w:t>
      </w:r>
      <w:r/>
    </w:p>
    <w:p>
      <w:pPr>
        <w:pStyle w:val="ListNumber"/>
        <w:spacing w:line="240" w:lineRule="auto"/>
        <w:ind w:left="720"/>
      </w:pPr>
      <w:r/>
      <w:hyperlink r:id="rId13">
        <w:r>
          <w:rPr>
            <w:color w:val="0000EE"/>
            <w:u w:val="single"/>
          </w:rPr>
          <w:t>https://equip.health/conditions/LGBT</w:t>
        </w:r>
      </w:hyperlink>
      <w:r>
        <w:t xml:space="preserve"> - Equip Health discusses the increased risk of eating disorders among LGBTQIA+ individuals, noting that studies show higher rates among transgender, gender non-conforming, and queer individuals compared to their cisgender and heterosexual counterparts. Despite this, stereotypes about who gets eating disorders persist. Equip Health is committed to amplifying awareness and closing the treatment gap to provide effective care to every LGBTQIA+ person in need.</w:t>
      </w:r>
      <w:r/>
    </w:p>
    <w:p>
      <w:pPr>
        <w:pStyle w:val="ListNumber"/>
        <w:spacing w:line="240" w:lineRule="auto"/>
        <w:ind w:left="720"/>
      </w:pPr>
      <w:r/>
      <w:hyperlink r:id="rId11">
        <w:r>
          <w:rPr>
            <w:color w:val="0000EE"/>
            <w:u w:val="single"/>
          </w:rPr>
          <w:t>https://www.acute.org/resources/eating-disorders-lgbtq-community</w:t>
        </w:r>
      </w:hyperlink>
      <w:r>
        <w:t xml:space="preserve"> - Acute.org addresses the higher risk of eating disorders and other psychiatric illnesses among LGBTQ+ individuals. Factors such as body image pressures and gender dysphoria are identified as unique risk factors. The article emphasizes the importance of understanding these factors to deliver high-quality, evidence-based, and identity-affirming care to the LGBTQ+ community.</w:t>
      </w:r>
      <w:r/>
    </w:p>
    <w:p>
      <w:pPr>
        <w:pStyle w:val="ListNumber"/>
        <w:spacing w:line="240" w:lineRule="auto"/>
        <w:ind w:left="720"/>
      </w:pPr>
      <w:r/>
      <w:hyperlink r:id="rId14">
        <w:r>
          <w:rPr>
            <w:color w:val="0000EE"/>
            <w:u w:val="single"/>
          </w:rPr>
          <w:t>https://anad.org/pride-month-resources/</w:t>
        </w:r>
      </w:hyperlink>
      <w:r>
        <w:t xml:space="preserve"> - The National Association of Anorexia Nervosa and Associated Disorders (ANAD) provides resources for Pride Month, focusing on understanding eating disorders in the LGBTQ+ community. They offer links to organizations like The Trevor Project and FedUp Collective, and articles on topics such as eating disorder prevalence in the LGBTQ+ community and how to support LGBTQIA+ individuals with eating disorders.</w:t>
      </w:r>
      <w:r/>
    </w:p>
    <w:p>
      <w:pPr>
        <w:pStyle w:val="ListNumber"/>
        <w:spacing w:line="240" w:lineRule="auto"/>
        <w:ind w:left="720"/>
      </w:pPr>
      <w:r/>
      <w:hyperlink r:id="rId15">
        <w:r>
          <w:rPr>
            <w:color w:val="0000EE"/>
            <w:u w:val="single"/>
          </w:rPr>
          <w:t>https://withinhealth.com/learn/articles/lgbtqia-people</w:t>
        </w:r>
      </w:hyperlink>
      <w:r>
        <w:t xml:space="preserve"> - Within Health discusses eating disorder treatment programs for LGBTQIA+ individuals, highlighting that research into eating disorder prevalence in the LGBTQIA+ community has revealed patterns such as higher rates among transgender non-conforming adults and lesbian women. The article also identifies risk factors for the LGBTQIA+ community, including experiences of rejection and fear of rejection by friends, family, and co-workers.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cird.com/lgbtqia-eating-disorder-care/" TargetMode="External"/><Relationship Id="rId10" Type="http://schemas.openxmlformats.org/officeDocument/2006/relationships/hyperlink" Target="https://www.nationaleatingdisorders.org/eating-disorders-in-lgbtqia-populations/" TargetMode="External"/><Relationship Id="rId11" Type="http://schemas.openxmlformats.org/officeDocument/2006/relationships/hyperlink" Target="https://www.acute.org/resources/eating-disorders-lgbtq-community" TargetMode="External"/><Relationship Id="rId12" Type="http://schemas.openxmlformats.org/officeDocument/2006/relationships/hyperlink" Target="https://www.eatingrecoverycenter.com/resources/lgbtq" TargetMode="External"/><Relationship Id="rId13" Type="http://schemas.openxmlformats.org/officeDocument/2006/relationships/hyperlink" Target="https://equip.health/conditions/LGBT" TargetMode="External"/><Relationship Id="rId14" Type="http://schemas.openxmlformats.org/officeDocument/2006/relationships/hyperlink" Target="https://anad.org/pride-month-resources/" TargetMode="External"/><Relationship Id="rId15" Type="http://schemas.openxmlformats.org/officeDocument/2006/relationships/hyperlink" Target="https://withinhealth.com/learn/articles/lgbtqia-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