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Understanding the Manhattan Institute’s Anti‑DEI Pivot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Wall Street‑backed think tank repurposed anti‑DEI and anti‑LGBTQ+ messaging to advance broader conservative goals, shaping laws, campus politics and healthcare debates across the US, why it matters for citizens, educators and anyone concerned with public institutions.</w:t>
      </w:r>
      <w:r/>
    </w:p>
    <w:p>
      <w:r/>
      <w:r>
        <w:t>Essential Takeaways</w:t>
      </w:r>
      <w:r/>
      <w:r/>
    </w:p>
    <w:p>
      <w:pPr>
        <w:pStyle w:val="ListBullet"/>
        <w:spacing w:line="240" w:lineRule="auto"/>
        <w:ind w:left="720"/>
      </w:pPr>
      <w:r/>
      <w:r>
        <w:rPr>
          <w:b/>
        </w:rPr>
        <w:t>Model legislation influence:</w:t>
      </w:r>
      <w:r>
        <w:t xml:space="preserve"> The Manhattan Institute’s DEI model bill has been used verbatim or closely copied in multiple state proposals, shaping legal definitions that restrict diversity initiatives.</w:t>
      </w:r>
      <w:r/>
    </w:p>
    <w:p>
      <w:pPr>
        <w:pStyle w:val="ListBullet"/>
        <w:spacing w:line="240" w:lineRule="auto"/>
        <w:ind w:left="720"/>
      </w:pPr>
      <w:r/>
      <w:r>
        <w:rPr>
          <w:b/>
        </w:rPr>
        <w:t>Strategic pivot:</w:t>
      </w:r>
      <w:r>
        <w:t xml:space="preserve"> Originally focused on market and deregulation policy, the Institute shifted in the 2020s toward an “anti‑woke” agenda that links opposition to DEI with wider political aims.</w:t>
      </w:r>
      <w:r/>
    </w:p>
    <w:p>
      <w:pPr>
        <w:pStyle w:val="ListBullet"/>
        <w:spacing w:line="240" w:lineRule="auto"/>
        <w:ind w:left="720"/>
      </w:pPr>
      <w:r/>
      <w:r>
        <w:rPr>
          <w:b/>
        </w:rPr>
        <w:t>Education as battleground:</w:t>
      </w:r>
      <w:r>
        <w:t xml:space="preserve"> The Institute targets universities and K‑12 schools to weaken public education and teachers’ unions while promoting charter and market‑oriented alternatives.</w:t>
      </w:r>
      <w:r/>
    </w:p>
    <w:p>
      <w:pPr>
        <w:pStyle w:val="ListBullet"/>
        <w:spacing w:line="240" w:lineRule="auto"/>
        <w:ind w:left="720"/>
      </w:pPr>
      <w:r/>
      <w:r>
        <w:rPr>
          <w:b/>
        </w:rPr>
        <w:t>Healthcare leverage:</w:t>
      </w:r>
      <w:r>
        <w:t xml:space="preserve"> Anti‑trans advocacy tied to the Institute’s work has fed policy efforts to limit gender‑affirming care and to challenge medical bodies’ authority.</w:t>
      </w:r>
      <w:r/>
    </w:p>
    <w:p>
      <w:pPr>
        <w:pStyle w:val="ListBullet"/>
        <w:spacing w:line="240" w:lineRule="auto"/>
        <w:ind w:left="720"/>
      </w:pPr>
      <w:r/>
      <w:r>
        <w:rPr>
          <w:b/>
        </w:rPr>
        <w:t>Tactical effect:</w:t>
      </w:r>
      <w:r>
        <w:t xml:space="preserve"> Beyond laws, the rhetoric creates chilling effects, faculty self‑censorship, policy rollbacks and institutional shifts that outlast any single bill.</w:t>
      </w:r>
      <w:r/>
      <w:r/>
    </w:p>
    <w:p>
      <w:pPr>
        <w:pStyle w:val="Heading2"/>
      </w:pPr>
      <w:r>
        <w:t>How a traditionally market‑focused think tank reinvented itself</w:t>
      </w:r>
      <w:r/>
    </w:p>
    <w:p>
      <w:r/>
      <w:r>
        <w:t>The Manhattan Institute began life as a pro‑market, policy‑research organisation with roots in deregulation and urban policy, and it still publishes thoughtful, well‑promoted pieces. But the texture of its output changed in the early 2020s, becoming louder on culture fights and DEI. That shift has a particular feel to it: sharper headlines, targeted model bills and an effort to manufacture legal definitions that stick. For anyone who watches policy networks, this is a familiar playbook, shift emphasis, deploy a crisp model text, then watch it get copied into state legislatures.</w:t>
      </w:r>
      <w:r/>
    </w:p>
    <w:p>
      <w:pPr>
        <w:pStyle w:val="Heading2"/>
      </w:pPr>
      <w:r>
        <w:t>Why DEI language matters: model bills and legal definitions</w:t>
      </w:r>
      <w:r/>
    </w:p>
    <w:p>
      <w:r/>
      <w:r>
        <w:t>Words in a model bill matter because courts and legislatures use them. The Institute’s template defines DEI in a way that frames it as preferential treatment, and that definition has traveled, sometimes lifted wholesale, into state proposals. Legal scholars and civil‑rights advocates warn that this kind of definitional work isn’t merely semantic; it reshapes enforcement, funding and what public institutions are allowed to discuss or do. If you’re an administrator or community organiser, the practical takeaway is to read proposed language closely: a few clauses can change whether a programme survives.</w:t>
      </w:r>
      <w:r/>
    </w:p>
    <w:p>
      <w:pPr>
        <w:pStyle w:val="Heading2"/>
      </w:pPr>
      <w:r>
        <w:t>The university fight: cultural strategy meets staffing and curriculum</w:t>
      </w:r>
      <w:r/>
    </w:p>
    <w:p>
      <w:r/>
      <w:r>
        <w:t>The Institute’s campaign at higher education institutions mixes policy reports, op‑eds and direct institutional interventions. By pushing narratives about “indoctrination” and “woke” curricula, the group helps create pressure for curricular changes, faculty reshuffles and governance shifts that favour market‑oriented hires. The human cost can be immediate: professors depart, departments shrink and subjects such as gender studies get targeted. For students and staff, the result can be a narrower intellectual climate; for policymakers, it’s an effective lever to accelerate broader education reform agendas.</w:t>
      </w:r>
      <w:r/>
    </w:p>
    <w:p>
      <w:pPr>
        <w:pStyle w:val="Heading2"/>
      </w:pPr>
      <w:r>
        <w:t>K‑12, unions and school choice, why attacking schools is strategic</w:t>
      </w:r>
      <w:r/>
    </w:p>
    <w:p>
      <w:r/>
      <w:r>
        <w:t>Targeting public schools does double duty for the Institute: it undermines trust in public education while making the case for charter expansion and school choice. Teachers’ unions are portrayed as a political obstacle, and attacks on school policies, especially those around gender and sexuality, stoke parental concern and media attention. If you care about local school governance, expect these battles to play out at board meetings and in local elections, with state law sometimes providing the scaffolding for sweeping changes.</w:t>
      </w:r>
      <w:r/>
    </w:p>
    <w:p>
      <w:pPr>
        <w:pStyle w:val="Heading2"/>
      </w:pPr>
      <w:r>
        <w:t>Healthcare: anti‑trans policy as a wedge to challenge medical authorities</w:t>
      </w:r>
      <w:r/>
    </w:p>
    <w:p>
      <w:r/>
      <w:r>
        <w:t>The Institute’s pivot into healthcare rhetoric has seen it fund and promote research that questions gender‑affirming care and challenges the professional consensus of medical organisations. That work is then used in policy debates about funding, clinic operations and federal guidance. The practical implication is stark: when a policy network succeeds at delegitimising professional bodies, it reshapes not just law but access to care, creating fewer options and greater uncertainty for vulnerable patients.</w:t>
      </w:r>
      <w:r/>
    </w:p>
    <w:p>
      <w:pPr>
        <w:pStyle w:val="Heading2"/>
      </w:pPr>
      <w:r>
        <w:t>What citizens and institutions can do, practical steps</w:t>
      </w:r>
      <w:r/>
    </w:p>
    <w:p>
      <w:r/>
      <w:r>
        <w:t>Pay attention to draft language, not just headlines; model bills travel fast and often resurface with local sponsors. Universities and school boards should audit policies and communications so they can respond clearly and factually to claims about curriculum or care. Healthcare providers ought to document standard‑of‑care practices and communicate transparently with regulators and communities. And for voters, the lesson is simple: these debates are local as well as national, show up to meetings and read the proposed texts before they become law.</w:t>
      </w:r>
      <w:r/>
    </w:p>
    <w:p>
      <w:r/>
      <w:r>
        <w:t>It's a small change in rhetoric that can have outsized effects on institutions and people, so follow the language, watch the model bills and stay engaged.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[7]</w:t>
        </w:r>
      </w:hyperlink>
      <w:r>
        <w:t xml:space="preserve">- Paragraph 5: </w:t>
      </w:r>
      <w:hyperlink r:id="rId11">
        <w:r>
          <w:rPr>
            <w:color w:val="0000EE"/>
            <w:u w:val="single"/>
          </w:rPr>
          <w:t>[6]</w:t>
        </w:r>
      </w:hyperlink>
      <w:r>
        <w:t xml:space="preserve">, </w:t>
      </w:r>
      <w:hyperlink r:id="rId15">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https://msmagazine.com/2026/06/21/manhattan-institute-trump-republicans/</w:t>
        </w:r>
      </w:hyperlink>
      <w:r>
        <w:t xml:space="preserve"> - Please view link - unable to able to access data</w:t>
      </w:r>
      <w:r/>
    </w:p>
    <w:p>
      <w:pPr>
        <w:pStyle w:val="ListNumber"/>
        <w:spacing w:line="240" w:lineRule="auto"/>
        <w:ind w:left="720"/>
      </w:pPr>
      <w:r/>
      <w:hyperlink r:id="rId10">
        <w:r>
          <w:rPr>
            <w:color w:val="0000EE"/>
            <w:u w:val="single"/>
          </w:rPr>
          <w:t>https://manhattan.institute/model-dei-legislation</w:t>
        </w:r>
      </w:hyperlink>
      <w:r>
        <w:t xml:space="preserve"> - In January 2023, the Manhattan Institute released a model bill titled 'Abolish DEI Bureaucracies and Restore Colorblind Equality in Public Universities.' This legislation aims to dismantle Diversity, Equity, and Inclusion (DEI) offices within public universities, arguing that such bureaucracies enforce ideological conformity and hinder academic freedom. The proposal includes ending mandatory diversity training and curbing political coercion, advocating for a return to merit-based, colorblind policies in higher education.</w:t>
      </w:r>
      <w:r/>
    </w:p>
    <w:p>
      <w:pPr>
        <w:pStyle w:val="ListNumber"/>
        <w:spacing w:line="240" w:lineRule="auto"/>
        <w:ind w:left="720"/>
      </w:pPr>
      <w:r/>
      <w:hyperlink r:id="rId12">
        <w:r>
          <w:rPr>
            <w:color w:val="0000EE"/>
            <w:u w:val="single"/>
          </w:rPr>
          <w:t>https://manhattan.institute/article/fight-bias-and-legalize-meritocracy-a-unifying-vision-for-antidiscrimination-law/</w:t>
        </w:r>
      </w:hyperlink>
      <w:r>
        <w:t xml:space="preserve"> - In May 2025, the Manhattan Institute published a report titled 'Fight Bias and Legalize Meritocracy: A Unifying Vision for Antidiscrimination Law.' Authored by Robert VerBruggen, the report examines the evolution of antidiscrimination laws in the U.S., emphasizing the need for colorblind policies that prohibit discrimination against all races. It critiques current practices that allow racial preferences and advocates for reforms that promote merit-based decision-making in employment, housing, and education.</w:t>
      </w:r>
      <w:r/>
    </w:p>
    <w:p>
      <w:pPr>
        <w:pStyle w:val="ListNumber"/>
        <w:spacing w:line="240" w:lineRule="auto"/>
        <w:ind w:left="720"/>
      </w:pPr>
      <w:r/>
      <w:hyperlink r:id="rId15">
        <w:r>
          <w:rPr>
            <w:color w:val="0000EE"/>
            <w:u w:val="single"/>
          </w:rPr>
          <w:t>https://www.adl.org/node/51434</w:t>
        </w:r>
      </w:hyperlink>
      <w:r>
        <w:t xml:space="preserve"> - The Anti-Defamation League (ADL) has identified Christopher Rufo, a senior fellow at the Manhattan Institute, as an anti-LGBTQ+ extremist. Rufo has been known for his campaigns against critical race theory and has recently focused on opposing 'gender ideology.' His work includes promoting conspiracy theories about progressive movements aiming to dismantle traditional family structures and conservative values by expanding rights for women and LGBTQ+ individuals.</w:t>
      </w:r>
      <w:r/>
    </w:p>
    <w:p>
      <w:pPr>
        <w:pStyle w:val="ListNumber"/>
        <w:spacing w:line="240" w:lineRule="auto"/>
        <w:ind w:left="720"/>
      </w:pPr>
      <w:r/>
      <w:hyperlink r:id="rId13">
        <w:r>
          <w:rPr>
            <w:color w:val="0000EE"/>
            <w:u w:val="single"/>
          </w:rPr>
          <w:t>https://manhattan.institute/article/the-future-of-american-antidiscrimination-law</w:t>
        </w:r>
      </w:hyperlink>
      <w:r>
        <w:t xml:space="preserve"> - In May 2025, the Manhattan Institute announced that Paul Singer was stepping down as Chair, with Betsy DeVos succeeding him. The announcement highlighted the release of a new report by fellow Robert VerBruggen on American antidiscrimination law. The report delves into the history and current state of laws prohibiting racial discrimination in employment, contracting, housing, and elite college admissions, arguing that the current backlash against 'wokeness' and DEI offers the country the opportunity to pursue genuine colorblindness in American antidiscrimination law.</w:t>
      </w:r>
      <w:r/>
    </w:p>
    <w:p>
      <w:pPr>
        <w:pStyle w:val="ListNumber"/>
        <w:spacing w:line="240" w:lineRule="auto"/>
        <w:ind w:left="720"/>
      </w:pPr>
      <w:r/>
      <w:hyperlink r:id="rId11">
        <w:r>
          <w:rPr>
            <w:color w:val="0000EE"/>
            <w:u w:val="single"/>
          </w:rPr>
          <w:t>https://manhattan.institute/policy/culture</w:t>
        </w:r>
      </w:hyperlink>
      <w:r>
        <w:t xml:space="preserve"> - The Manhattan Institute's 'Culture' policy section seeks to bridge America's cultural divides by offering constructive alternatives to identity politics. It covers various topics, including child welfare, race, culture, and society, aiming to provide insights and commentary that challenge prevailing narratives and promote a more inclusive and meritocratic society.</w:t>
      </w:r>
      <w:r/>
    </w:p>
    <w:p>
      <w:pPr>
        <w:pStyle w:val="ListNumber"/>
        <w:spacing w:line="240" w:lineRule="auto"/>
        <w:ind w:left="720"/>
      </w:pPr>
      <w:r/>
      <w:hyperlink r:id="rId14">
        <w:r>
          <w:rPr>
            <w:color w:val="0000EE"/>
            <w:u w:val="single"/>
          </w:rPr>
          <w:t>https://www.goldwaterinstitute.org/goldwater-speech-first-launch-plan-to-detox-college-classrooms-of-dei/</w:t>
        </w:r>
      </w:hyperlink>
      <w:r>
        <w:t xml:space="preserve"> - In April 2023, the Goldwater Institute, in partnership with Speech First, launched the 'Freedom from Indoctrination Act,' a legislative package designed to eliminate 'diversity, equity, and inclusion' (DEI) programming from college classrooms. This initiative complements the Manhattan Institute-Goldwater Institute 'Abolish DEI Bureaucracies' model policy, aiming to dismantle DEI offices and extend protections against DEI programming to the college classroom and freshman orientation experience, thereby protecting academic freedom.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smagazine.com/2026/06/21/manhattan-institute-trump-republicans/" TargetMode="External"/><Relationship Id="rId10" Type="http://schemas.openxmlformats.org/officeDocument/2006/relationships/hyperlink" Target="https://manhattan.institute/model-dei-legislation" TargetMode="External"/><Relationship Id="rId11" Type="http://schemas.openxmlformats.org/officeDocument/2006/relationships/hyperlink" Target="https://manhattan.institute/policy/culture" TargetMode="External"/><Relationship Id="rId12" Type="http://schemas.openxmlformats.org/officeDocument/2006/relationships/hyperlink" Target="https://manhattan.institute/article/fight-bias-and-legalize-meritocracy-a-unifying-vision-for-antidiscrimination-law/" TargetMode="External"/><Relationship Id="rId13" Type="http://schemas.openxmlformats.org/officeDocument/2006/relationships/hyperlink" Target="https://manhattan.institute/article/the-future-of-american-antidiscrimination-law" TargetMode="External"/><Relationship Id="rId14" Type="http://schemas.openxmlformats.org/officeDocument/2006/relationships/hyperlink" Target="https://www.goldwaterinstitute.org/goldwater-speech-first-launch-plan-to-detox-college-classrooms-of-dei/" TargetMode="External"/><Relationship Id="rId15" Type="http://schemas.openxmlformats.org/officeDocument/2006/relationships/hyperlink" Target="https://www.adl.org/node/51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