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Practices in the Philippines: Joy with Legal Backbone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but make it meaningful , shoppers, politicians, employers and allies in the Philippines are increasingly asked to match rainbow flair with real policy and protection, because Pride without legal backbone is just decoration.</w:t>
      </w:r>
      <w:r/>
    </w:p>
    <w:p>
      <w:r/>
      <w:r>
        <w:t>Essential Takeaways</w:t>
      </w:r>
      <w:r/>
      <w:r/>
    </w:p>
    <w:p>
      <w:pPr>
        <w:pStyle w:val="ListBullet"/>
        <w:spacing w:line="240" w:lineRule="auto"/>
        <w:ind w:left="720"/>
      </w:pPr>
      <w:r/>
      <w:r>
        <w:rPr>
          <w:b/>
        </w:rPr>
        <w:t>Supreme Court context:</w:t>
      </w:r>
      <w:r>
        <w:t xml:space="preserve"> Falcis III recognises historic discrimination against LGBTQIA+ Filipinos, so moral disapproval can't justify exclusion. </w:t>
      </w:r>
      <w:r/>
    </w:p>
    <w:p>
      <w:pPr>
        <w:pStyle w:val="ListBullet"/>
        <w:spacing w:line="240" w:lineRule="auto"/>
        <w:ind w:left="720"/>
      </w:pPr>
      <w:r/>
      <w:r>
        <w:rPr>
          <w:b/>
        </w:rPr>
        <w:t>Legally required workplace steps:</w:t>
      </w:r>
      <w:r>
        <w:t xml:space="preserve"> The Safe Spaces Act IRR mandates internal complaint mechanisms (CODI), workplace policies, reporting channels, confidentiality and anti-retaliation measures. </w:t>
      </w:r>
      <w:r/>
    </w:p>
    <w:p>
      <w:pPr>
        <w:pStyle w:val="ListBullet"/>
        <w:spacing w:line="240" w:lineRule="auto"/>
        <w:ind w:left="720"/>
      </w:pPr>
      <w:r/>
      <w:r>
        <w:rPr>
          <w:b/>
        </w:rPr>
        <w:t>Performative risk:</w:t>
      </w:r>
      <w:r>
        <w:t xml:space="preserve"> Fun runs, rainbow merch and social posts are visible and popular, but they don't substitute for ordinances, budgets or enforcement. </w:t>
      </w:r>
      <w:r/>
    </w:p>
    <w:p>
      <w:pPr>
        <w:pStyle w:val="ListBullet"/>
        <w:spacing w:line="240" w:lineRule="auto"/>
        <w:ind w:left="720"/>
      </w:pPr>
      <w:r/>
      <w:r>
        <w:rPr>
          <w:b/>
        </w:rPr>
        <w:t>Ally checklist:</w:t>
      </w:r>
      <w:r>
        <w:t xml:space="preserve"> Public support should be backed by private action , calling out discriminatory jokes, supporting local anti-discrimination bills, and voting for accountability. </w:t>
      </w:r>
      <w:r/>
      <w:r/>
    </w:p>
    <w:p>
      <w:pPr>
        <w:pStyle w:val="Heading2"/>
      </w:pPr>
      <w:r>
        <w:t>Pride looks colourful, but receipts matter</w:t>
      </w:r>
      <w:r/>
    </w:p>
    <w:p>
      <w:r/>
      <w:r>
        <w:t>The glitter and confetti are part of Pride's joy , and your feed will tell you who's celebrating. But according to the Supreme Court’s decision in Falcis III v. Civil Registrar General, the state can't hide behind "public morals" to exclude a whole sector of people. That legal reality means Pride in the Philippines can't be only about appearances; it has to translate into concrete protections and policies. If your politician hands out a rainbow band in June, check whether they also back anti-discrimination measures that actually carry weight.</w:t>
      </w:r>
      <w:r/>
    </w:p>
    <w:p>
      <w:pPr>
        <w:pStyle w:val="Heading2"/>
      </w:pPr>
      <w:r>
        <w:t>Why fun runs and banners fall short</w:t>
      </w:r>
      <w:r/>
    </w:p>
    <w:p>
      <w:r/>
      <w:r>
        <w:t>Political gestures like fun runs, tarpaulins and speeches are visible, instant and easy to stage, which is why they keep appearing every June. But visibility without follow-through is performative governance , pretty to look at, useless in everyday life. The courts have pointed out that anti-discrimination proposals are already on the table; the remaining gap is action: ordinances, funding and enforcement. When you see a seasonal ally, ask where the ordinance or budget line is that turn that season’s cheer into lasting change.</w:t>
      </w:r>
      <w:r/>
    </w:p>
    <w:p>
      <w:pPr>
        <w:pStyle w:val="Heading2"/>
      </w:pPr>
      <w:r>
        <w:t>Employers: lanyards are not a policy</w:t>
      </w:r>
      <w:r/>
    </w:p>
    <w:p>
      <w:r/>
      <w:r>
        <w:t>Many companies love rainbow-themed merch and virtual backgrounds, and there's nothing wrong with that , it's festive. But the Implementing Rules and Regulations of the Safe Spaces Act make clear employers have legal duties beyond accessories. They must set up independent complaint mechanisms (CODI), create and circulate a workplace code of conduct, provide clear procedures and penalties, and ensure confidentiality and non-retaliation. If your workplace treats inclusion as an optional aesthetic, that’s a legal and ethical problem, not a branding opportunity.</w:t>
      </w:r>
      <w:r/>
    </w:p>
    <w:p>
      <w:pPr>
        <w:pStyle w:val="Heading2"/>
      </w:pPr>
      <w:r>
        <w:t>Allies: don’t harvest clout, do the hard work</w:t>
      </w:r>
      <w:r/>
    </w:p>
    <w:p>
      <w:r/>
      <w:r>
        <w:t>Posting a rainbow profile picture is easy; intervening in a homophobic workplace chat or calling out a discriminatory jest takes effort and courage. The Ladlad v. COMELEC ruling and subsequent legal context remind us that discrimination can't be defended by "moral dislike." Being an ally means more than engagement farming: it means holding people to account, supporting policy change, and using your social power to protect, not perform. If you can click "like," you can also pick up the phone, sign a petition, or show up in a way that matters.</w:t>
      </w:r>
      <w:r/>
    </w:p>
    <w:p>
      <w:pPr>
        <w:pStyle w:val="Heading2"/>
      </w:pPr>
      <w:r>
        <w:t>How to tell the difference between optics and obligation</w:t>
      </w:r>
      <w:r/>
    </w:p>
    <w:p>
      <w:r/>
      <w:r>
        <w:t>Look for the specifics: has an employer published an accessible reporting channel? Does a local politician support an anti-discrimination ordinance or merely a Pride parade? Are there training programmes that explain what constitutes harassment and how to report it? Practical signs of substance include documented policies, budget allocations for implementation, and demonstrable enforcement actions. Small gestures are sweet; policy is what keeps people safe every day.</w:t>
      </w:r>
      <w:r/>
    </w:p>
    <w:p>
      <w:r/>
      <w:r>
        <w:t>It's a small change that can make every Pride celebration safer and more durable.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2">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https://outragemag.com/pride-month-sa-pinas-rainbow-rainbow-pero-nasaan-ang-resibo/</w:t>
        </w:r>
      </w:hyperlink>
      <w:r>
        <w:t xml:space="preserve"> - Please view link - unable to able to access data</w:t>
      </w:r>
      <w:r/>
    </w:p>
    <w:p>
      <w:pPr>
        <w:pStyle w:val="ListNumber"/>
        <w:spacing w:line="240" w:lineRule="auto"/>
        <w:ind w:left="720"/>
      </w:pPr>
      <w:r/>
      <w:hyperlink r:id="rId10">
        <w:r>
          <w:rPr>
            <w:color w:val="0000EE"/>
            <w:u w:val="single"/>
          </w:rPr>
          <w:t>https://en.wikipedia.org/wiki/Falcis_III_v._Civil_Registrar-General</w:t>
        </w:r>
      </w:hyperlink>
      <w:r>
        <w:t xml:space="preserve"> - The Supreme Court of the Philippines dismissed the petition in Falcis III v. Civil Registrar-General (2019) for lack of standing, stating that moral disapproval is not a legitimate state interest to discriminate against the LGBTQIA+ community. The Court noted that numerous anti-discrimination bills had been filed, indicating governmental awareness of the issue, but no legislative action had been taken.</w:t>
      </w:r>
      <w:r/>
    </w:p>
    <w:p>
      <w:pPr>
        <w:pStyle w:val="ListNumber"/>
        <w:spacing w:line="240" w:lineRule="auto"/>
        <w:ind w:left="720"/>
      </w:pPr>
      <w:r/>
      <w:hyperlink r:id="rId15">
        <w:r>
          <w:rPr>
            <w:color w:val="0000EE"/>
            <w:u w:val="single"/>
          </w:rPr>
          <w:t>https://elibrary.judiciary.gov.ph/thebookshelf/showdocs/2/96805</w:t>
        </w:r>
      </w:hyperlink>
      <w:r>
        <w:t xml:space="preserve"> - The Implementing Rules and Regulations (IRR) of Republic Act No. 11313, known as the Safe Spaces Act, provide guidelines for addressing gender-based sexual harassment in various settings, including workplaces. Employers are required to establish internal mechanisms to investigate and address such harassment, develop workplace policies, and enforce administrative penalties for non-compliance.</w:t>
      </w:r>
      <w:r/>
    </w:p>
    <w:p>
      <w:pPr>
        <w:pStyle w:val="ListNumber"/>
        <w:spacing w:line="240" w:lineRule="auto"/>
        <w:ind w:left="720"/>
      </w:pPr>
      <w:r/>
      <w:hyperlink r:id="rId12">
        <w:r>
          <w:rPr>
            <w:color w:val="0000EE"/>
            <w:u w:val="single"/>
          </w:rPr>
          <w:t>https://www.ble.dole.gov.ph/wp-content/uploads/2022/06/IRR-of-the-Safe-Spaces-Act.pdf</w:t>
        </w:r>
      </w:hyperlink>
      <w:r>
        <w:t xml:space="preserve"> - The IRR of the Safe Spaces Act outlines the responsibilities of employers to create independent internal mechanisms to investigate and address gender-based sexual harassment. It mandates the development and dissemination of workplace policies that prohibit such harassment, establish procedures, and set administrative penalties for non-compliance.</w:t>
      </w:r>
      <w:r/>
    </w:p>
    <w:p>
      <w:pPr>
        <w:pStyle w:val="ListNumber"/>
        <w:spacing w:line="240" w:lineRule="auto"/>
        <w:ind w:left="720"/>
      </w:pPr>
      <w:r/>
      <w:hyperlink r:id="rId11">
        <w:r>
          <w:rPr>
            <w:color w:val="0000EE"/>
            <w:u w:val="single"/>
          </w:rPr>
          <w:t>https://www.chanrobles.com/cralaw/2019septemberdecisions.php?id=843</w:t>
        </w:r>
      </w:hyperlink>
      <w:r>
        <w:t xml:space="preserve"> - In the case of Falcis III v. Civil Registrar-General (2019), the Supreme Court of the Philippines dismissed the petition for lack of standing, stating that moral disapproval is not a legitimate state interest to discriminate against the LGBTQIA+ community. The Court noted that numerous anti-discrimination bills had been filed, indicating governmental awareness of the issue, but no legislative action had been taken.</w:t>
      </w:r>
      <w:r/>
    </w:p>
    <w:p>
      <w:pPr>
        <w:pStyle w:val="ListNumber"/>
        <w:spacing w:line="240" w:lineRule="auto"/>
        <w:ind w:left="720"/>
      </w:pPr>
      <w:r/>
      <w:hyperlink r:id="rId13">
        <w:r>
          <w:rPr>
            <w:color w:val="0000EE"/>
            <w:u w:val="single"/>
          </w:rPr>
          <w:t>https://jur.ph/law/summary/implementing-rules-and-regulations-of-republic-act-no-11313-safe-spaces-act</w:t>
        </w:r>
      </w:hyperlink>
      <w:r>
        <w:t xml:space="preserve"> - The IRR of Republic Act No. 11313, known as the Safe Spaces Act, establishes guidelines and definitions for implementing measures against gender-based sexual harassment in public spaces, online platforms, workplaces, and educational institutions. It emphasizes the state's commitment to human dignity and equality.</w:t>
      </w:r>
      <w:r/>
    </w:p>
    <w:p>
      <w:pPr>
        <w:pStyle w:val="ListNumber"/>
        <w:spacing w:line="240" w:lineRule="auto"/>
        <w:ind w:left="720"/>
      </w:pPr>
      <w:r/>
      <w:hyperlink r:id="rId14">
        <w:r>
          <w:rPr>
            <w:color w:val="0000EE"/>
            <w:u w:val="single"/>
          </w:rPr>
          <w:t>https://elibrary.judiciary.gov.ph/thebookshelf/showdocs/1/65744</w:t>
        </w:r>
      </w:hyperlink>
      <w:r>
        <w:t xml:space="preserve"> - The Supreme Court's decision in Falcis III v. Civil Registrar-General (2019) dismissed the petition for lack of standing, stating that moral disapproval is not a legitimate state interest to discriminate against the LGBTQIA+ community. The Court noted that numerous anti-discrimination bills had been filed, indicating governmental awareness of the issue, but no legislative action had been taken.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ragemag.com/pride-month-sa-pinas-rainbow-rainbow-pero-nasaan-ang-resibo/" TargetMode="External"/><Relationship Id="rId10" Type="http://schemas.openxmlformats.org/officeDocument/2006/relationships/hyperlink" Target="https://en.wikipedia.org/wiki/Falcis_III_v._Civil_Registrar-General" TargetMode="External"/><Relationship Id="rId11" Type="http://schemas.openxmlformats.org/officeDocument/2006/relationships/hyperlink" Target="https://www.chanrobles.com/cralaw/2019septemberdecisions.php?id=843" TargetMode="External"/><Relationship Id="rId12" Type="http://schemas.openxmlformats.org/officeDocument/2006/relationships/hyperlink" Target="https://www.ble.dole.gov.ph/wp-content/uploads/2022/06/IRR-of-the-Safe-Spaces-Act.pdf" TargetMode="External"/><Relationship Id="rId13" Type="http://schemas.openxmlformats.org/officeDocument/2006/relationships/hyperlink" Target="https://jur.ph/law/summary/implementing-rules-and-regulations-of-republic-act-no-11313-safe-spaces-act" TargetMode="External"/><Relationship Id="rId14" Type="http://schemas.openxmlformats.org/officeDocument/2006/relationships/hyperlink" Target="https://elibrary.judiciary.gov.ph/thebookshelf/showdocs/1/65744" TargetMode="External"/><Relationship Id="rId15" Type="http://schemas.openxmlformats.org/officeDocument/2006/relationships/hyperlink" Target="https://elibrary.judiciary.gov.ph/thebookshelf/showdocs/2/968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