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Legal Gaps Left by Bostock for LGBTQIA+ Workers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Bostock reshaped workplace rights but left real questions for bisexual, asexual, nonbinary people and on healthcare , here’s what employers and employees need to know right now.</w:t>
      </w:r>
      <w:r/>
    </w:p>
    <w:p>
      <w:r/>
      <w:r>
        <w:t>Essential Takeaways</w:t>
      </w:r>
      <w:r/>
      <w:r/>
    </w:p>
    <w:p>
      <w:pPr>
        <w:pStyle w:val="ListBullet"/>
        <w:spacing w:line="240" w:lineRule="auto"/>
        <w:ind w:left="720"/>
      </w:pPr>
      <w:r/>
      <w:r>
        <w:rPr>
          <w:b/>
        </w:rPr>
        <w:t>Major ruling:</w:t>
      </w:r>
      <w:r>
        <w:t xml:space="preserve"> Bostock extended Title VII protections to sexual orientation and gender identity, reshaping workplace anti-discrimination law.</w:t>
      </w:r>
      <w:r/>
    </w:p>
    <w:p>
      <w:pPr>
        <w:pStyle w:val="ListBullet"/>
        <w:spacing w:line="240" w:lineRule="auto"/>
        <w:ind w:left="720"/>
      </w:pPr>
      <w:r/>
      <w:r>
        <w:rPr>
          <w:b/>
        </w:rPr>
        <w:t>Open questions:</w:t>
      </w:r>
      <w:r>
        <w:t xml:space="preserve"> Courts have not resolved whether bisexual and asexual people are always covered under Bostock’s but-for test.</w:t>
      </w:r>
      <w:r/>
    </w:p>
    <w:p>
      <w:pPr>
        <w:pStyle w:val="ListBullet"/>
        <w:spacing w:line="240" w:lineRule="auto"/>
        <w:ind w:left="720"/>
      </w:pPr>
      <w:r/>
      <w:r>
        <w:rPr>
          <w:b/>
        </w:rPr>
        <w:t>Nonbinary uncertainty:</w:t>
      </w:r>
      <w:r>
        <w:t xml:space="preserve"> It’s unsettled whether nonbinary status fits cleanly within the Court’s binary-based reasoning.</w:t>
      </w:r>
      <w:r/>
    </w:p>
    <w:p>
      <w:pPr>
        <w:pStyle w:val="ListBullet"/>
        <w:spacing w:line="240" w:lineRule="auto"/>
        <w:ind w:left="720"/>
      </w:pPr>
      <w:r/>
      <w:r>
        <w:rPr>
          <w:b/>
        </w:rPr>
        <w:t>Benefits gap:</w:t>
      </w:r>
      <w:r>
        <w:t xml:space="preserve"> Coverage for gender-affirming care remains contested; some courts allow categorical exclusions if framed as medical classifications.</w:t>
      </w:r>
      <w:r/>
    </w:p>
    <w:p>
      <w:pPr>
        <w:pStyle w:val="ListBullet"/>
        <w:spacing w:line="240" w:lineRule="auto"/>
        <w:ind w:left="720"/>
      </w:pPr>
      <w:r/>
      <w:r>
        <w:rPr>
          <w:b/>
        </w:rPr>
        <w:t>Practical step:</w:t>
      </w:r>
      <w:r>
        <w:t xml:space="preserve"> Employers are safest adopting broad, inclusive policies now while watching evolving caselaw.</w:t>
      </w:r>
      <w:r/>
      <w:r/>
    </w:p>
    <w:p>
      <w:pPr>
        <w:pStyle w:val="Heading2"/>
      </w:pPr>
      <w:r>
        <w:t>Why Bostock was seismic , and why it didn’t finish the job</w:t>
      </w:r>
      <w:r/>
    </w:p>
    <w:p>
      <w:r/>
      <w:r>
        <w:t>Bostock v. Clayton County was a headline-grabbing victory for LGBTQIA+ workers because the Supreme Court said discrimination for being homosexual or transgender violates Title VII. You can still feel the relief in workplaces where staff finally saw the law name them. At the same time, the Court’s logic , the “but-for” test that asks whether changing the employee’s sex would have changed the employer’s decision , relies on comparisons that presume a binary sense of sex, and that’s where the practical problems start. Employers and HR teams cheered, but lawyers have been flagging gaps almost immediately; the decision fixed a huge hole but left some edges frayed.</w:t>
      </w:r>
      <w:r/>
    </w:p>
    <w:p>
      <w:pPr>
        <w:pStyle w:val="Heading2"/>
      </w:pPr>
      <w:r>
        <w:t>Bisexual and asexual workers: the awkward middle the Court didn’t squarely address</w:t>
      </w:r>
      <w:r/>
    </w:p>
    <w:p>
      <w:r/>
      <w:r>
        <w:t>Courts are now asking whether the but-for framework protects people who aren’t neatly gay or straight. Suppose a man and a woman are both attracted to men and women; if an employer fires only the man, is that sex-based discrimination under Bostock’s test? The logic gets tricky. The Sixth Circuit flagged the question and wisely declined to give a general ruling, leaving bisexual and asexual identities in a grey zone. For employees, that means individual cases might swing on specific facts. For employers it means policies shouldn’t assume a one-size-fits-all interpretation; clear, neutral practices reduce risk.</w:t>
      </w:r>
      <w:r/>
    </w:p>
    <w:p>
      <w:pPr>
        <w:pStyle w:val="Heading2"/>
      </w:pPr>
      <w:r>
        <w:t>Nonbinary identities: a legal blind spot that’s getting attention</w:t>
      </w:r>
      <w:r/>
    </w:p>
    <w:p>
      <w:r/>
      <w:r>
        <w:t>Nonbinary workers pose a closer test of Bostock’s reasoning because they don’t fit the male/female frame the Court leaned on. There’s a persuasive argument that treating someone differently for being nonbinary is inseparable from treating them differently because of sex, but courts haven’t uniformly accepted that yet. Practically, employers should treat nonbinary status as tied to sex-based considerations and extend protections accordingly. That approach not only fits the spirit of recent rulings but makes workplaces more inclusive and less likely to face litigation.</w:t>
      </w:r>
      <w:r/>
    </w:p>
    <w:p>
      <w:pPr>
        <w:pStyle w:val="Heading2"/>
      </w:pPr>
      <w:r>
        <w:t>Gender-affirming care and benefits: where policy language matters</w:t>
      </w:r>
      <w:r/>
    </w:p>
    <w:p>
      <w:r/>
      <w:r>
        <w:t>Bostock left employers and benefits administrators with a thorny follow-up: must plans cover gender-affirming treatment equally? Some courts have been sympathetic to employer arguments that exclusions are medical, not sex-based, especially where policies apply “regardless of biological sex.” That reasoning lets insurers or employers deny certain procedures if they’re framed as not medically necessary across the board. The upshot is simple: the wording of benefits documents matters hugely. Employers aiming to reduce legal exposure should review plan language, consider equitable coverage for gender-affirming care, and consult counsel before adopting categorical exclusions.</w:t>
      </w:r>
      <w:r/>
    </w:p>
    <w:p>
      <w:pPr>
        <w:pStyle w:val="Heading2"/>
      </w:pPr>
      <w:r>
        <w:t>What employers and HR teams should do now</w:t>
      </w:r>
      <w:r/>
    </w:p>
    <w:p>
      <w:r/>
      <w:r>
        <w:t>Don’t wait for the Supreme Court to sort out every remaining question , take sensible, precautionary steps today. Update anti-discrimination policies to explicitly name bisexual, asexual and nonbinary people. Train managers to avoid sex- and gender-linked assumptions. Review benefits language with benefits counsel and, where possible, move toward gender-neutral criteria for coverage. These measures not only lower legal risk but help retain staff and signal that an employer takes dignity seriously.</w:t>
      </w:r>
      <w:r/>
    </w:p>
    <w:p>
      <w:pPr>
        <w:pStyle w:val="Heading2"/>
      </w:pPr>
      <w:r>
        <w:t>Where the law might head next</w:t>
      </w:r>
      <w:r/>
    </w:p>
    <w:p>
      <w:r/>
      <w:r>
        <w:t>Expect litigation to probe these grey areas further , courts will test how broadly Bostock’s but-for logic reaches, and appellate rulings could split before the Supreme Court steps in again. Meanwhile, employers that interpret Title VII generously will both reduce churn and be better positioned if the law narrows in particular circuits. For employees, that means strategic claims and careful fact-gathering will continue to be important.</w:t>
      </w:r>
      <w:r/>
    </w:p>
    <w:p>
      <w:r/>
      <w:r>
        <w:t>It’s a significant shift, but not the end point , tweak policies, watch the case law, and keep workplaces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[7]</w:t>
        </w:r>
      </w:hyperlink>
      <w:r>
        <w:t xml:space="preserve">- Paragraph 2: </w:t>
      </w:r>
      <w:hyperlink r:id="rId9">
        <w:r>
          <w:rPr>
            <w:color w:val="0000EE"/>
            <w:u w:val="single"/>
          </w:rPr>
          <w:t>[2]</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9">
        <w:r>
          <w:rPr>
            <w:color w:val="0000EE"/>
            <w:u w:val="single"/>
          </w:rPr>
          <w:t>[2]</w:t>
        </w:r>
      </w:hyperlink>
      <w:r>
        <w:t xml:space="preserve">- Paragraph 5: </w:t>
      </w:r>
      <w:hyperlink r:id="rId9">
        <w:r>
          <w:rPr>
            <w:color w:val="0000EE"/>
            <w:u w:val="single"/>
          </w:rPr>
          <w:t>[1]</w:t>
        </w:r>
      </w:hyperlink>
      <w:r>
        <w:t xml:space="preserve">, </w:t>
      </w:r>
      <w:hyperlink r:id="rId14">
        <w:r>
          <w:rPr>
            <w:color w:val="0000EE"/>
            <w:u w:val="single"/>
          </w:rPr>
          <w:t>[4]</w:t>
        </w:r>
      </w:hyperlink>
      <w:r>
        <w:t xml:space="preserve">- Paragraph 6: </w:t>
      </w:r>
      <w:hyperlink r:id="rId9">
        <w:r>
          <w:rPr>
            <w:color w:val="0000EE"/>
            <w:u w:val="single"/>
          </w:rPr>
          <w:t>[1]</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https://www.jdsupra.com/legalnews/beyond-bostock-legal-gaps-affecting-4134906/</w:t>
        </w:r>
      </w:hyperlink>
      <w:r>
        <w:t xml:space="preserve"> - Please view link - unable to able to access data</w:t>
      </w:r>
      <w:r/>
    </w:p>
    <w:p>
      <w:pPr>
        <w:pStyle w:val="ListNumber"/>
        <w:spacing w:line="240" w:lineRule="auto"/>
        <w:ind w:left="720"/>
      </w:pPr>
      <w:r/>
      <w:hyperlink r:id="rId9">
        <w:r>
          <w:rPr>
            <w:color w:val="0000EE"/>
            <w:u w:val="single"/>
          </w:rPr>
          <w:t>https://www.jdsupra.com/legalnews/beyond-bostock-legal-gaps-affecting-4134906/</w:t>
        </w:r>
      </w:hyperlink>
      <w:r>
        <w:t xml:space="preserve"> - This article discusses the Supreme Court's decision in Bostock v. Clayton County, which held that discrimination based on sexual orientation is illegal under Title VII of the Civil Rights Act. It highlights the impact of this ruling on homosexual and transgender employees, ensuring protection against workplace discrimination. The article also addresses the limitations of the Bostock decision, particularly concerning bisexual, asexual, and nonbinary individuals, and raises questions about the applicability of Title VII protections in these contexts. Additionally, it examines the implications of the ruling on gender-affirming healthcare coverage and benefits for employees.</w:t>
      </w:r>
      <w:r/>
    </w:p>
    <w:p>
      <w:pPr>
        <w:pStyle w:val="ListNumber"/>
        <w:spacing w:line="240" w:lineRule="auto"/>
        <w:ind w:left="720"/>
      </w:pPr>
      <w:r/>
      <w:hyperlink r:id="rId13">
        <w:r>
          <w:rPr>
            <w:color w:val="0000EE"/>
            <w:u w:val="single"/>
          </w:rPr>
          <w:t>https://www.supremecourt.gov/opinions/19pdf/17-1618_hfci.pdf</w:t>
        </w:r>
      </w:hyperlink>
      <w:r>
        <w:t xml:space="preserve"> - The Supreme Court's opinion in Bostock v. Clayton County, Georgia, held that an employer who fires an individual merely for being gay or transgender violates Title VII of the Civil Rights Act of 1964. The Court reasoned that discrimination on the basis of sexual orientation or gender identity inherently involves discrimination based on sex, as it requires an employer to intentionally treat individual employees differently because of their sex. This landmark decision has significant implications for LGBTQIA+ rights in the workplace.</w:t>
      </w:r>
      <w:r/>
    </w:p>
    <w:p>
      <w:pPr>
        <w:pStyle w:val="ListNumber"/>
        <w:spacing w:line="240" w:lineRule="auto"/>
        <w:ind w:left="720"/>
      </w:pPr>
      <w:r/>
      <w:hyperlink r:id="rId14">
        <w:r>
          <w:rPr>
            <w:color w:val="0000EE"/>
            <w:u w:val="single"/>
          </w:rPr>
          <w:t>https://www.law.cornell.edu/supct/cert/17-1618</w:t>
        </w:r>
      </w:hyperlink>
      <w:r>
        <w:t xml:space="preserve"> - The Legal Information Institute provides a comprehensive overview of the Bostock v. Clayton County case, including the issues at stake, the questions presented to the Court, and the facts of the case. The article outlines the legal arguments presented by both parties and the implications of the Supreme Court's decision, which clarified that Title VII of the Civil Rights Act of 1964 prohibits employment discrimination based on sexual orientation and gender identity.</w:t>
      </w:r>
      <w:r/>
    </w:p>
    <w:p>
      <w:pPr>
        <w:pStyle w:val="ListNumber"/>
        <w:spacing w:line="240" w:lineRule="auto"/>
        <w:ind w:left="720"/>
      </w:pPr>
      <w:r/>
      <w:hyperlink r:id="rId12">
        <w:r>
          <w:rPr>
            <w:color w:val="0000EE"/>
            <w:u w:val="single"/>
          </w:rPr>
          <w:t>https://www.law.cornell.edu/gender-justice/resource/bostock_v._clayton_county</w:t>
        </w:r>
      </w:hyperlink>
      <w:r>
        <w:t xml:space="preserve"> - This resource from the Legal Information Institute offers an in-depth analysis of the Bostock v. Clayton County case, detailing the background, legal arguments, and the Supreme Court's ruling. It discusses the impact of the decision on employment discrimination laws, particularly concerning LGBTQIA+ individuals, and examines how the Court's interpretation of Title VII extends protections to include discrimination based on sexual orientation and gender identity.</w:t>
      </w:r>
      <w:r/>
    </w:p>
    <w:p>
      <w:pPr>
        <w:pStyle w:val="ListNumber"/>
        <w:spacing w:line="240" w:lineRule="auto"/>
        <w:ind w:left="720"/>
      </w:pPr>
      <w:r/>
      <w:hyperlink r:id="rId10">
        <w:r>
          <w:rPr>
            <w:color w:val="0000EE"/>
            <w:u w:val="single"/>
          </w:rPr>
          <w:t>https://www.washingtonpost.com/nation/2020/06/15/supreme-court-rules-lgbtq-workers-are-protected-under-title-vii/</w:t>
        </w:r>
      </w:hyperlink>
      <w:r>
        <w:t xml:space="preserve"> - The Washington Post reports on the Supreme Court's 6-3 decision in Bostock v. Clayton County, which determined that Title VII of the Civil Rights Act of 1964 protects employees from discrimination based on sexual orientation and gender identity. The article highlights the significance of this ruling for LGBTQIA+ rights and discusses the legal reasoning behind the Court's decision, emphasizing that firing someone for being gay or transgender is inherently discrimination based on sex.</w:t>
      </w:r>
      <w:r/>
    </w:p>
    <w:p>
      <w:pPr>
        <w:pStyle w:val="ListNumber"/>
        <w:spacing w:line="240" w:lineRule="auto"/>
        <w:ind w:left="720"/>
      </w:pPr>
      <w:r/>
      <w:hyperlink r:id="rId11">
        <w:r>
          <w:rPr>
            <w:color w:val="0000EE"/>
            <w:u w:val="single"/>
          </w:rPr>
          <w:t>https://www.nytimes.com/2020/06/15/us/supreme-court-lgbtq-rights.html</w:t>
        </w:r>
      </w:hyperlink>
      <w:r>
        <w:t xml:space="preserve"> - The New York Times covers the Supreme Court's landmark decision in Bostock v. Clayton County, affirming that Title VII of the Civil Rights Act of 1964 prohibits employment discrimination based on sexual orientation and gender identity. The article provides insights into the Court's reasoning, the implications for LGBTQIA+ workers, and the broader impact of the ruling on civil rights protections in the United 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dsupra.com/legalnews/beyond-bostock-legal-gaps-affecting-4134906/" TargetMode="External"/><Relationship Id="rId10" Type="http://schemas.openxmlformats.org/officeDocument/2006/relationships/hyperlink" Target="https://www.washingtonpost.com/nation/2020/06/15/supreme-court-rules-lgbtq-workers-are-protected-under-title-vii/" TargetMode="External"/><Relationship Id="rId11" Type="http://schemas.openxmlformats.org/officeDocument/2006/relationships/hyperlink" Target="https://www.nytimes.com/2020/06/15/us/supreme-court-lgbtq-rights.html" TargetMode="External"/><Relationship Id="rId12" Type="http://schemas.openxmlformats.org/officeDocument/2006/relationships/hyperlink" Target="https://www.law.cornell.edu/gender-justice/resource/bostock_v._clayton_county" TargetMode="External"/><Relationship Id="rId13" Type="http://schemas.openxmlformats.org/officeDocument/2006/relationships/hyperlink" Target="https://www.supremecourt.gov/opinions/19pdf/17-1618_hfci.pdf" TargetMode="External"/><Relationship Id="rId14" Type="http://schemas.openxmlformats.org/officeDocument/2006/relationships/hyperlink" Target="https://www.law.cornell.edu/supct/cert/17-16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