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Bill C-12: How Canada’s One-Year Rule Affects LGBTQ+ Asylum Claims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clarity: Canada’s Bill C-12 introduced a one-year filing deadline for refugee claims, and LGBTQ+ advocacy groups warn it’s putting vulnerable people at risk. This explainer unpicks who’s affected, why delays can be life-or-death, and what steps claimants and supporters should take now.</w:t>
      </w:r>
      <w:r/>
    </w:p>
    <w:p>
      <w:r/>
      <w:r>
        <w:t>Essential Takeaways</w:t>
      </w:r>
      <w:r/>
      <w:r/>
    </w:p>
    <w:p>
      <w:pPr>
        <w:pStyle w:val="ListBullet"/>
        <w:spacing w:line="240" w:lineRule="auto"/>
        <w:ind w:left="720"/>
      </w:pPr>
      <w:r/>
      <w:r>
        <w:rPr>
          <w:b/>
        </w:rPr>
        <w:t>One-year deadline:</w:t>
      </w:r>
      <w:r>
        <w:t xml:space="preserve"> Claimants must file refugee claims within one year of first arriving in Canada or risk being deemed ineligible for IRB review.</w:t>
      </w:r>
      <w:r/>
    </w:p>
    <w:p>
      <w:pPr>
        <w:pStyle w:val="ListBullet"/>
        <w:spacing w:line="240" w:lineRule="auto"/>
        <w:ind w:left="720"/>
      </w:pPr>
      <w:r/>
      <w:r>
        <w:rPr>
          <w:b/>
        </w:rPr>
        <w:t>Retroactive window:</w:t>
      </w:r>
      <w:r>
        <w:t xml:space="preserve"> The rule applies to people who first entered Canada on or after 24 June 2020, with new claim baseline dates in 2025.</w:t>
      </w:r>
      <w:r/>
    </w:p>
    <w:p>
      <w:pPr>
        <w:pStyle w:val="ListBullet"/>
        <w:spacing w:line="240" w:lineRule="auto"/>
        <w:ind w:left="720"/>
      </w:pPr>
      <w:r/>
      <w:r>
        <w:rPr>
          <w:b/>
        </w:rPr>
        <w:t>LGBTQ+ vulnerability:</w:t>
      </w:r>
      <w:r>
        <w:t xml:space="preserve"> Delayed self-recognition or disclosure of sexual orientation or gender identity can make otherwise valid claims ineligible.</w:t>
      </w:r>
      <w:r/>
    </w:p>
    <w:p>
      <w:pPr>
        <w:pStyle w:val="ListBullet"/>
        <w:spacing w:line="240" w:lineRule="auto"/>
        <w:ind w:left="720"/>
      </w:pPr>
      <w:r/>
      <w:r>
        <w:rPr>
          <w:b/>
        </w:rPr>
        <w:t>Alternative route:</w:t>
      </w:r>
      <w:r>
        <w:t xml:space="preserve"> Ineligible claimants face a Pre-Removal Risk Assessment (PRRA), a largely paper-based process with lower grant rates and no guaranteed oral hearing.</w:t>
      </w:r>
      <w:r/>
    </w:p>
    <w:p>
      <w:pPr>
        <w:pStyle w:val="ListBullet"/>
        <w:spacing w:line="240" w:lineRule="auto"/>
        <w:ind w:left="720"/>
      </w:pPr>
      <w:r/>
      <w:r>
        <w:rPr>
          <w:b/>
        </w:rPr>
        <w:t>Legal pushback:</w:t>
      </w:r>
      <w:r>
        <w:t xml:space="preserve"> Multiple federal court challenges argue the rule is unconstitutional and fails to protect people whose risk manifests after arrival.</w:t>
      </w:r>
      <w:r/>
      <w:r/>
    </w:p>
    <w:p>
      <w:pPr>
        <w:pStyle w:val="Heading2"/>
      </w:pPr>
      <w:r>
        <w:t>What exactly is the one-year rule and why it matters now</w:t>
      </w:r>
      <w:r/>
    </w:p>
    <w:p>
      <w:r/>
      <w:r>
        <w:t>Bill C-12 , the Border and Asylum Reform Act , added a technical eligibility test: refugee claims filed more than a year after first entering Canada can be declared ineligible for an Immigration and Refugee Board (IRB) hearing. That sounds tidy on paper, but it’s a blunt tool in practice.</w:t>
      </w:r>
      <w:r/>
    </w:p>
    <w:p>
      <w:r/>
      <w:r>
        <w:t xml:space="preserve">Immigration officials began sending notices to tens of thousands of people, including those who have been living here as students or temporary workers for years, telling them their claims may no longer be heard by the IRB. The human cost becomes clear when you picture someone who only realised their risk after private photos were exposed back home, or after family pressure escalated into threats. For many, the one-year marker simply doesn’t match how identity or danger emerge. (According to government materials summarising the new measures.) </w:t>
      </w:r>
      <w:hyperlink r:id="rId9">
        <w:r>
          <w:rPr>
            <w:color w:val="0000EE"/>
            <w:u w:val="single"/>
          </w:rPr>
          <w:t>[2]</w:t>
        </w:r>
      </w:hyperlink>
      <w:r/>
    </w:p>
    <w:p>
      <w:pPr>
        <w:pStyle w:val="Heading2"/>
      </w:pPr>
      <w:r>
        <w:t>Why LGBTQ+ claimants are uniquely affected</w:t>
      </w:r>
      <w:r/>
    </w:p>
    <w:p>
      <w:r/>
      <w:r>
        <w:t>LGBTQ+ people often go through a gradual process of self-recognition and disclosure that can take years. Arriving here under the relative safety of study or work can be the very thing that allows someone to understand their identity and the threat they face.</w:t>
      </w:r>
      <w:r/>
    </w:p>
    <w:p>
      <w:r/>
      <w:r>
        <w:t xml:space="preserve">Legal and community groups have pointed out that if a claimant only understands the peril they face after living in Canada for longer than a year, the new rule removes the IRB’s chance to hear their story in person. Without that face-to-face testimony, nuanced evidence about persecution, family honour-based threats, or state abuse can be reduced to cold paperwork , and those details are often decisive. </w:t>
      </w:r>
      <w:hyperlink r:id="rId10">
        <w:r>
          <w:rPr>
            <w:color w:val="0000EE"/>
            <w:u w:val="single"/>
          </w:rPr>
          <w:t>[3]</w:t>
        </w:r>
      </w:hyperlink>
      <w:r/>
    </w:p>
    <w:p>
      <w:pPr>
        <w:pStyle w:val="Heading2"/>
      </w:pPr>
      <w:r>
        <w:t>What happens if your claim is ruled ineligible</w:t>
      </w:r>
      <w:r/>
    </w:p>
    <w:p>
      <w:r/>
      <w:r>
        <w:t>An ineligible claim doesn’t automatically mean immediate deportation, but it does narrow the options dramatically. People are steered towards a Pre-Removal Risk Assessment, or PRRA. Historically, PRRAs have much lower success rates and are mostly paper-based, which is a real problem for cases that depend on oral testimony and lived detail.</w:t>
      </w:r>
      <w:r/>
    </w:p>
    <w:p>
      <w:r/>
      <w:r>
        <w:t xml:space="preserve">The Immigration Minister has said documented, compelling cases can be processed quickly through PRRA, but advocates argue the process isn’t built for nuanced identity claims and rarely offers the chance for an oral hearing. That gap is precisely what lawyers are contesting in federal court. </w:t>
      </w:r>
      <w:hyperlink r:id="rId9">
        <w:r>
          <w:rPr>
            <w:color w:val="0000EE"/>
            <w:u w:val="single"/>
          </w:rPr>
          <w:t>[2]</w:t>
        </w:r>
      </w:hyperlink>
      <w:r>
        <w:t xml:space="preserve">, </w:t>
      </w:r>
      <w:hyperlink r:id="rId10">
        <w:r>
          <w:rPr>
            <w:color w:val="0000EE"/>
            <w:u w:val="single"/>
          </w:rPr>
          <w:t>[3]</w:t>
        </w:r>
      </w:hyperlink>
      <w:r/>
    </w:p>
    <w:p>
      <w:pPr>
        <w:pStyle w:val="Heading2"/>
      </w:pPr>
      <w:r>
        <w:t>How lawyers and advocates are fighting back</w:t>
      </w:r>
      <w:r/>
    </w:p>
    <w:p>
      <w:r/>
      <w:r>
        <w:t>There are multiple federal court challenges underway arguing the one-year rule violates constitutional protections, including the right to an oral hearing and protections from discrimination. Some cases have been flagged for broader judicial review, meaning judges may consider the rule’s validity across many claims, not just individual situations.</w:t>
      </w:r>
      <w:r/>
    </w:p>
    <w:p>
      <w:r/>
      <w:r>
        <w:t xml:space="preserve">At the same time, LGBTQ+ organisations are campaigning for carve-outs in the law for people whose delayed filing is directly linked to the nature of identity recognition, fear of disclosure, or the timing of threats. Those advocacy pushes matter because they change the political spotlight and can influence how judges and policymakers think about fairness. </w:t>
      </w:r>
      <w:hyperlink r:id="rId10">
        <w:r>
          <w:rPr>
            <w:color w:val="0000EE"/>
            <w:u w:val="single"/>
          </w:rPr>
          <w:t>[3]</w:t>
        </w:r>
      </w:hyperlink>
      <w:r>
        <w:t xml:space="preserve">, </w:t>
      </w:r>
      <w:hyperlink r:id="rId11">
        <w:r>
          <w:rPr>
            <w:color w:val="0000EE"/>
            <w:u w:val="single"/>
          </w:rPr>
          <w:t>[5]</w:t>
        </w:r>
      </w:hyperlink>
      <w:r/>
    </w:p>
    <w:p>
      <w:pPr>
        <w:pStyle w:val="Heading2"/>
      </w:pPr>
      <w:r>
        <w:t>Practical steps for anyone impacted or helping someone who is</w:t>
      </w:r>
      <w:r/>
    </w:p>
    <w:p>
      <w:r/>
      <w:r>
        <w:t>If you or someone you know has received an ineligibility notice, act quickly. Seek qualified immigration counsel straight away , court challenges and procedural timelines move fast. Collect any contemporaneous evidence of when risk arose: messages, threats, social-media exposure, medical or counselling notes, witness statements and anything showing a late disclosure or turning point.</w:t>
      </w:r>
      <w:r/>
    </w:p>
    <w:p>
      <w:r/>
      <w:r>
        <w:t xml:space="preserve">Community groups and legal clinics can help with documentation and referrals. And if you’re supporting an acquaintance, gently encourage them to keep records of incidents and to contact organisations that specialise in LGBTQ+ refugee support , those networks frequently have up-to-date advice on PRRA preparation and judicial timelines. </w:t>
      </w:r>
      <w:hyperlink r:id="rId12">
        <w:r>
          <w:rPr>
            <w:color w:val="0000EE"/>
            <w:u w:val="single"/>
          </w:rPr>
          <w:t>[1]</w:t>
        </w:r>
      </w:hyperlink>
      <w:r>
        <w:t xml:space="preserve">, </w:t>
      </w:r>
      <w:hyperlink r:id="rId10">
        <w:r>
          <w:rPr>
            <w:color w:val="0000EE"/>
            <w:u w:val="single"/>
          </w:rPr>
          <w:t>[3]</w:t>
        </w:r>
      </w:hyperlink>
      <w:r/>
    </w:p>
    <w:p>
      <w:r/>
      <w:r>
        <w:t>It's a small change that can make every claim safer.</w:t>
      </w:r>
      <w:r/>
    </w:p>
    <w:p>
      <w:pPr>
        <w:pStyle w:val="Heading3"/>
      </w:pPr>
      <w:r>
        <w:t>Source Reference Map</w:t>
      </w:r>
      <w:r/>
    </w:p>
    <w:p>
      <w:r/>
      <w:r>
        <w:rPr>
          <w:b/>
        </w:rPr>
        <w:t>Story idea inspired by:</w:t>
      </w:r>
      <w:r>
        <w:t xml:space="preserve"> </w:t>
      </w:r>
      <w:hyperlink r:id="rId12">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2">
        <w:r>
          <w:rPr>
            <w:color w:val="0000EE"/>
            <w:u w:val="single"/>
          </w:rPr>
          <w:t>[1]</w:t>
        </w:r>
      </w:hyperlink>
      <w:r>
        <w:t xml:space="preserve">, </w:t>
      </w:r>
      <w:hyperlink r:id="rId9">
        <w:r>
          <w:rPr>
            <w:color w:val="0000EE"/>
            <w:u w:val="single"/>
          </w:rPr>
          <w:t>[2]</w:t>
        </w:r>
      </w:hyperlink>
      <w:r>
        <w:t xml:space="preserve">- Paragraph 3: </w:t>
      </w:r>
      <w:hyperlink r:id="rId12">
        <w:r>
          <w:rPr>
            <w:color w:val="0000EE"/>
            <w:u w:val="single"/>
          </w:rPr>
          <w:t>[1]</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[3]</w:t>
        </w:r>
      </w:hyperlink>
      <w:r>
        <w:t xml:space="preserve">, </w:t>
      </w:r>
      <w:hyperlink r:id="rId11">
        <w:r>
          <w:rPr>
            <w:color w:val="0000EE"/>
            <w:u w:val="single"/>
          </w:rPr>
          <w:t>[5]</w:t>
        </w:r>
      </w:hyperlink>
      <w:r>
        <w:t xml:space="preserve">- Paragraph 6: </w:t>
      </w:r>
      <w:hyperlink r:id="rId12">
        <w:r>
          <w:rPr>
            <w:color w:val="0000EE"/>
            <w:u w:val="single"/>
          </w:rPr>
          <w:t>[1]</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https://immigcanada.com/canadas-new-border-law-put-lgbtq-asylum-seekers-at-risk/</w:t>
        </w:r>
      </w:hyperlink>
      <w:r>
        <w:t xml:space="preserve"> - Please view link - unable to able to access data</w:t>
      </w:r>
      <w:r/>
    </w:p>
    <w:p>
      <w:pPr>
        <w:pStyle w:val="ListNumber"/>
        <w:spacing w:line="240" w:lineRule="auto"/>
        <w:ind w:left="720"/>
      </w:pPr>
      <w:r/>
      <w:hyperlink r:id="rId9">
        <w:r>
          <w:rPr>
            <w:color w:val="0000EE"/>
            <w:u w:val="single"/>
          </w:rPr>
          <w:t>https://www.canada.ca/en/immigration-refugees-citizenship/news/2026/03/new-immigration-and-asylum-measures-from-bill-c-12-the-strengthening-canadas-immigration-system-and-borders-act-have-become-law.html</w:t>
        </w:r>
      </w:hyperlink>
      <w:r>
        <w:t xml:space="preserve"> - On March 26, 2026, Bill C-12, known as the Strengthening Canada’s Immigration System and Borders Act, received royal assent, introducing significant changes to Canada's immigration and asylum systems. Key provisions include new eligibility requirements for asylum claims, such as a one-year filing deadline for claims made after June 24, 2020, and restrictions on claims from individuals who entered Canada irregularly. The act also modernises the asylum process, enhances domestic information sharing, and grants the government new authorities over immigration documents and applications. These measures aim to improve system efficiency and integrity.</w:t>
      </w:r>
      <w:r/>
    </w:p>
    <w:p>
      <w:pPr>
        <w:pStyle w:val="ListNumber"/>
        <w:spacing w:line="240" w:lineRule="auto"/>
        <w:ind w:left="720"/>
      </w:pPr>
      <w:r/>
      <w:hyperlink r:id="rId10">
        <w:r>
          <w:rPr>
            <w:color w:val="0000EE"/>
            <w:u w:val="single"/>
          </w:rPr>
          <w:t>https://www.canada.ca/en/immigration-refugees-citizenship/corporate/transparency/committees/cimm-oct-21-2025/bill-c-12.html</w:t>
        </w:r>
      </w:hyperlink>
      <w:r>
        <w:t xml:space="preserve"> - The Strengthening Canada’s Immigration System and Borders Act, Bill C-12, proposes reforms to enhance the integrity and fairness of Canada's immigration and asylum systems. The act introduces new ineligibilities for asylum claims, including a one-year ineligibility for claims made more than one year after a claimant's first entry into Canada after June 24, 2020, and a 14-day ineligibility for claims made by individuals who entered Canada irregularly. Additionally, the act strengthens control over immigration documents and applications and improves information sharing within Immigration, Refugees and Citizenship Canada (IRCC) and with key federal, provincial, and territorial partners.</w:t>
      </w:r>
      <w:r/>
    </w:p>
    <w:p>
      <w:pPr>
        <w:pStyle w:val="ListNumber"/>
        <w:spacing w:line="240" w:lineRule="auto"/>
        <w:ind w:left="720"/>
      </w:pPr>
      <w:r/>
      <w:hyperlink r:id="rId13">
        <w:r>
          <w:rPr>
            <w:color w:val="0000EE"/>
            <w:u w:val="single"/>
          </w:rPr>
          <w:t>https://www.visaverge.com/immigration/bill-c12-receives-royal-assent-tightening-canadas-asylum-rules/</w:t>
        </w:r>
      </w:hyperlink>
      <w:r>
        <w:t xml:space="preserve"> - Bill C-12, enacted on March 26, 2026, significantly tightens Canada's asylum eligibility and processing. The new rules impose strict time-based bars on asylum claims made more than a year after entry and grant the Cabinet new discretionary powers to suspend or cancel groups of immigration applications and documents. These measures aim to reduce pressure on the asylum system and deter misuse, but have raised concerns among refugee advocates about their impact on vulnerable populations.</w:t>
      </w:r>
      <w:r/>
    </w:p>
    <w:p>
      <w:pPr>
        <w:pStyle w:val="ListNumber"/>
        <w:spacing w:line="240" w:lineRule="auto"/>
        <w:ind w:left="720"/>
      </w:pPr>
      <w:r/>
      <w:hyperlink r:id="rId11">
        <w:r>
          <w:rPr>
            <w:color w:val="0000EE"/>
            <w:u w:val="single"/>
          </w:rPr>
          <w:t>https://parliamentaudit.ca/news/bill-c12-immigration-reform-refugee-rights</w:t>
        </w:r>
      </w:hyperlink>
      <w:r>
        <w:t xml:space="preserve"> - Bill C-12, the Strengthening Canada’s Immigration System and Borders Act, became law on March 26, 2026, introducing a one-year filing deadline for asylum claims, granting the government power to cancel immigration documents in the 'public interest,' and restricting claims from people who crossed the border irregularly. Approximately 30,000 refugee claimants have already received notices that their cases may be affected. Rights groups have called it the biggest rollback of refugee protections in more than a decade.</w:t>
      </w:r>
      <w:r/>
    </w:p>
    <w:p>
      <w:pPr>
        <w:pStyle w:val="ListNumber"/>
        <w:spacing w:line="240" w:lineRule="auto"/>
        <w:ind w:left="720"/>
      </w:pPr>
      <w:r/>
      <w:hyperlink r:id="rId14">
        <w:r>
          <w:rPr>
            <w:color w:val="0000EE"/>
            <w:u w:val="single"/>
          </w:rPr>
          <w:t>https://www.youtube.com/watch?v=wLZ1YG3ncCE&amp;vl=en-US</w:t>
        </w:r>
      </w:hyperlink>
      <w:r>
        <w:t xml:space="preserve"> - This video provides an analysis of Bill C-12, the Strengthening Canada's Immigration System and Borders Act, and its potential impact on refugees and immigrants in Canada. It discusses the 'one-year rule' for asylum claims, the government's new powers to suspend or cancel immigration documents in the 'public interest,' and other provisions of the act. The video aims to inform viewers about the changes introduced by Bill C-12 and their implications for various groups, including international students, temporary workers, and residents.</w:t>
      </w:r>
      <w:r/>
    </w:p>
    <w:p>
      <w:pPr>
        <w:pStyle w:val="ListNumber"/>
        <w:spacing w:line="240" w:lineRule="auto"/>
        <w:ind w:left="720"/>
      </w:pPr>
      <w:r/>
      <w:hyperlink r:id="rId12">
        <w:r>
          <w:rPr>
            <w:color w:val="0000EE"/>
            <w:u w:val="single"/>
          </w:rPr>
          <w:t>https://immigcanada.com/canadas-new-border-law-put-lgbtq-asylum-seekers-at-risk/</w:t>
        </w:r>
      </w:hyperlink>
      <w:r>
        <w:t xml:space="preserve"> - Canada's Border and Asylum Reform Act, known as Bill C-12, introduced a one-year filing deadline for refugee claims. Claimants who first arrived in Canada more than one year before making their claim are now deemed ineligible for review by the Immigration and Refugee Board. Legal advocates, LGBTQ+ support organizations, and refugee lawyers argue this rule is causing serious harm to vulnerable populations, particularly LGBTQ+ individuals who may not have disclosed their identity or recognized their risk within the one-year window.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nada.ca/en/immigration-refugees-citizenship/news/2026/03/new-immigration-and-asylum-measures-from-bill-c-12-the-strengthening-canadas-immigration-system-and-borders-act-have-become-law.html" TargetMode="External"/><Relationship Id="rId10" Type="http://schemas.openxmlformats.org/officeDocument/2006/relationships/hyperlink" Target="https://www.canada.ca/en/immigration-refugees-citizenship/corporate/transparency/committees/cimm-oct-21-2025/bill-c-12.html" TargetMode="External"/><Relationship Id="rId11" Type="http://schemas.openxmlformats.org/officeDocument/2006/relationships/hyperlink" Target="https://parliamentaudit.ca/news/bill-c12-immigration-reform-refugee-rights" TargetMode="External"/><Relationship Id="rId12" Type="http://schemas.openxmlformats.org/officeDocument/2006/relationships/hyperlink" Target="https://immigcanada.com/canadas-new-border-law-put-lgbtq-asylum-seekers-at-risk/" TargetMode="External"/><Relationship Id="rId13" Type="http://schemas.openxmlformats.org/officeDocument/2006/relationships/hyperlink" Target="https://www.visaverge.com/immigration/bill-c12-receives-royal-assent-tightening-canadas-asylum-rules/" TargetMode="External"/><Relationship Id="rId14" Type="http://schemas.openxmlformats.org/officeDocument/2006/relationships/hyperlink" Target="https://www.youtube.com/watch?v=wLZ1YG3ncCE&amp;vl=e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