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WPATH Lawsuit and New Zealand’s Puberty Blocker Pause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medical accountability: the US FTC has sued WPATH, and New Zealand’s move to restrict puberty blockers is now tangled in court , why parents, clinicians and policymakers should care right now.</w:t>
      </w:r>
      <w:r/>
    </w:p>
    <w:p>
      <w:r/>
      <w:r>
        <w:t>Essential Takeaways</w:t>
      </w:r>
      <w:r/>
      <w:r/>
    </w:p>
    <w:p>
      <w:pPr>
        <w:pStyle w:val="ListBullet"/>
        <w:spacing w:line="240" w:lineRule="auto"/>
        <w:ind w:left="720"/>
      </w:pPr>
      <w:r/>
      <w:r>
        <w:rPr>
          <w:b/>
        </w:rPr>
        <w:t>US action:</w:t>
      </w:r>
      <w:r>
        <w:t xml:space="preserve"> The Federal Trade Commission has sued WPATH, alleging deceptive practices in guidance that influences paediatric transition care, signalling federal scrutiny. </w:t>
      </w:r>
      <w:r/>
    </w:p>
    <w:p>
      <w:pPr>
        <w:pStyle w:val="ListBullet"/>
        <w:spacing w:line="240" w:lineRule="auto"/>
        <w:ind w:left="720"/>
      </w:pPr>
      <w:r/>
      <w:r>
        <w:rPr>
          <w:b/>
        </w:rPr>
        <w:t>HHS backing:</w:t>
      </w:r>
      <w:r>
        <w:t xml:space="preserve"> The Department of Health and Human Services publicly supported the FTC’s move, citing conflicts of interest and weak evidence in WPATH guidance. </w:t>
      </w:r>
      <w:r/>
    </w:p>
    <w:p>
      <w:pPr>
        <w:pStyle w:val="ListBullet"/>
        <w:spacing w:line="240" w:lineRule="auto"/>
        <w:ind w:left="720"/>
      </w:pPr>
      <w:r/>
      <w:r>
        <w:rPr>
          <w:b/>
        </w:rPr>
        <w:t>NZ pause in practice:</w:t>
      </w:r>
      <w:r>
        <w:t xml:space="preserve"> New Zealand’s Health Minister introduced a ban on new puberty blocker prescriptions for minors, but the rule is currently frozen by a PATHA court injunction. </w:t>
      </w:r>
      <w:r/>
    </w:p>
    <w:p>
      <w:pPr>
        <w:pStyle w:val="ListBullet"/>
        <w:spacing w:line="240" w:lineRule="auto"/>
        <w:ind w:left="720"/>
      </w:pPr>
      <w:r/>
      <w:r>
        <w:rPr>
          <w:b/>
        </w:rPr>
        <w:t>Legal angle:</w:t>
      </w:r>
      <w:r>
        <w:t xml:space="preserve"> PATHA’s New Zealand challenge focuses on procedural grounds, not the international evidence base, creating a temporary bar on enforcement. </w:t>
      </w:r>
      <w:r/>
    </w:p>
    <w:p>
      <w:pPr>
        <w:pStyle w:val="ListBullet"/>
        <w:spacing w:line="240" w:lineRule="auto"/>
        <w:ind w:left="720"/>
      </w:pPr>
      <w:r/>
      <w:r>
        <w:rPr>
          <w:b/>
        </w:rPr>
        <w:t>Policy ripple:</w:t>
      </w:r>
      <w:r>
        <w:t xml:space="preserve"> A proposed NZ law to define legal sex could harden the statutory basis for sex-based health rules; public consultation is open and timely.</w:t>
      </w:r>
      <w:r/>
      <w:r/>
    </w:p>
    <w:p>
      <w:pPr>
        <w:pStyle w:val="Heading2"/>
      </w:pPr>
      <w:r>
        <w:t>Why the FTC suing WPATH matters , and it smells like a turning point</w:t>
      </w:r>
      <w:r/>
    </w:p>
    <w:p>
      <w:r/>
      <w:r>
        <w:t>The Federal Trade Commission suing a clinical guidance body is unusual, and the move tastes of accountability. According to reporting, the FTC alleges WPATH’s guidance enabled misleading claims to parents and clinicians about paediatric transition treatments, a charge that elevates the dispute from medical debate to consumer-protection territory. This isn’t just academic nitpicking; it puts a spotlight on who sets standards and whether those standards were influenced by conflicts or circular endorsements. For parents and clinicians, that raises a clear practical question: can we trust the documents that underpin care?</w:t>
      </w:r>
      <w:r/>
    </w:p>
    <w:p>
      <w:pPr>
        <w:pStyle w:val="Heading2"/>
      </w:pPr>
      <w:r>
        <w:t>How Washington’s health department framed it , disclosure, conflicts and standards</w:t>
      </w:r>
      <w:r/>
    </w:p>
    <w:p>
      <w:r/>
      <w:r>
        <w:t>The Department of Health and Human Services publicly praised the FTC, saying medical organisations must disclose conflicts and follow rigorous evidence reviews. HHS’s critique, accompanied by a prior report pointing to problems in WPATH Standard of Care version 8, argues the guidance relied on advocacy and legal considerations as much as science. That sort of statement from a federal health department tends to shift the conversation , funders, hospitals and insurers pay attention when a regulator signals that the evidence chain is shaky. If you’re a clinician or a parent, this means paying closer attention to evidence summaries and declared conflicts when assessing treatment options.</w:t>
      </w:r>
      <w:r/>
    </w:p>
    <w:p>
      <w:pPr>
        <w:pStyle w:val="Heading2"/>
      </w:pPr>
      <w:r>
        <w:t>What’s happening in New Zealand , a minister’s ban, a court freeze, and parents in limbo</w:t>
      </w:r>
      <w:r/>
    </w:p>
    <w:p>
      <w:r/>
      <w:r>
        <w:t>In Wellington, Health Minister Simeon Brown announced a ban on new puberty blocker prescriptions for gender dysphoria in minors, citing limited high-quality evidence. Parliament passed regulations and the ban was due to take effect, but PATHA , the local WPATH affiliate , obtained an interim injunction that prevents enforcement pending a judicial review. The result is a peculiar status: rules exist, but prescribers face no disciplinary action if they continue. Practically, that leaves families and clinicians in uncertainty , some will pause treatment, others will carry on , and that inconsistency is stressful for everyone involved.</w:t>
      </w:r>
      <w:r/>
    </w:p>
    <w:p>
      <w:pPr>
        <w:pStyle w:val="Heading2"/>
      </w:pPr>
      <w:r>
        <w:t>PATHA’s legal strategy , process over science, and why that matters constitutionally</w:t>
      </w:r>
      <w:r/>
    </w:p>
    <w:p>
      <w:r/>
      <w:r>
        <w:t>PATHA’s court argument focuses largely on whether the minister followed correct procedure rather than disputing international evidence directly. That tactic has immediate effect: it sidesteps scientific debate and challenges the mechanics of decision-making. Legal commentators have pointed out the constitutional awkwardness of unelected judges effectively pausing democratically enacted health policy. For voters and parents, it invites a broader question: should courts be the place where contested health policy is settled, or should elected bodies and clinical regulators bear that burden?</w:t>
      </w:r>
      <w:r/>
    </w:p>
    <w:p>
      <w:pPr>
        <w:pStyle w:val="Heading2"/>
      </w:pPr>
      <w:r>
        <w:t>Where this could head next , laws, trials and the longer policy shadow</w:t>
      </w:r>
      <w:r/>
    </w:p>
    <w:p>
      <w:r/>
      <w:r>
        <w:t>There are two parallel tracks to watch. First, the July judicial review in New Zealand will test whether the interim relief stands and whether the ban can be enforced. Second, a private member’s bill aims to define “woman” and “man” by biological sex in statute, which would shore up sex-based health policy decisions over the longer term. Neither path guarantees a quick fix, but both signal that this debate will keep moving through courts and legislatures. For parents thinking about making submissions or following the issue, the moment to speak up is now.</w:t>
      </w:r>
      <w:r/>
    </w:p>
    <w:p>
      <w:r/>
      <w:r>
        <w:t>Closing line It’s a fast-moving policy story with real human consequences , keep watching, ask questions, and weigh evidence as decisions unfold.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2">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https://www.pennymarie.nz/p/america-just-did-what-new-zealand</w:t>
        </w:r>
      </w:hyperlink>
      <w:r>
        <w:t xml:space="preserve"> - Please view link - unable to able to access data</w:t>
      </w:r>
      <w:r/>
    </w:p>
    <w:p>
      <w:pPr>
        <w:pStyle w:val="ListNumber"/>
        <w:spacing w:line="240" w:lineRule="auto"/>
        <w:ind w:left="720"/>
      </w:pPr>
      <w:r/>
      <w:hyperlink r:id="rId10">
        <w:r>
          <w:rPr>
            <w:color w:val="0000EE"/>
            <w:u w:val="single"/>
          </w:rPr>
          <w:t>https://www.axios.com/2026/06/17/ftc-lawsuit-medical-group-trans-care</w:t>
        </w:r>
      </w:hyperlink>
      <w:r>
        <w:t xml:space="preserve"> - The Federal Trade Commission (FTC), along with Alaska, Iowa, Nebraska, and Texas, has filed a lawsuit against the World Professional Association for Transgender Health (WPATH). The suit alleges that WPATH made unsubstantiated and misleading claims regarding the benefits and necessity of transition-related services, particularly for minors, and failed to adequately disclose potential side effects. This legal action is part of broader efforts to restrict access to puberty blockers, hormone therapies, and related medical care for transgender youths. (</w:t>
      </w:r>
      <w:hyperlink r:id="rId15">
        <w:r>
          <w:rPr>
            <w:color w:val="0000EE"/>
            <w:u w:val="single"/>
          </w:rPr>
          <w:t>axios.com</w:t>
        </w:r>
      </w:hyperlink>
      <w:r>
        <w:t>)</w:t>
      </w:r>
      <w:r/>
    </w:p>
    <w:p>
      <w:pPr>
        <w:pStyle w:val="ListNumber"/>
        <w:spacing w:line="240" w:lineRule="auto"/>
        <w:ind w:left="720"/>
      </w:pPr>
      <w:r/>
      <w:hyperlink r:id="rId11">
        <w:r>
          <w:rPr>
            <w:color w:val="0000EE"/>
            <w:u w:val="single"/>
          </w:rPr>
          <w:t>https://apnews.com/article/91825f64800a6aadfa4f2da989742124</w:t>
        </w:r>
      </w:hyperlink>
      <w:r>
        <w:t xml:space="preserve"> - The FTC, along with Alaska, Iowa, Nebraska, and Texas, has filed a lawsuit against WPATH, accusing it of making deceptive claims regarding gender-affirming care for minors. The lawsuit alleges that WPATH failed to disclose potential side effects of pediatric treatments like hormone therapy and that its guidelines led doctors to repeat misleading information about safety and efficacy. The FTC seeks to block WPATH from future violations and impose financial penalties. (</w:t>
      </w:r>
      <w:hyperlink r:id="rId16">
        <w:r>
          <w:rPr>
            <w:color w:val="0000EE"/>
            <w:u w:val="single"/>
          </w:rPr>
          <w:t>apnews.com</w:t>
        </w:r>
      </w:hyperlink>
      <w:r>
        <w:t>)</w:t>
      </w:r>
      <w:r/>
    </w:p>
    <w:p>
      <w:pPr>
        <w:pStyle w:val="ListNumber"/>
        <w:spacing w:line="240" w:lineRule="auto"/>
        <w:ind w:left="720"/>
      </w:pPr>
      <w:r/>
      <w:hyperlink r:id="rId12">
        <w:r>
          <w:rPr>
            <w:color w:val="0000EE"/>
            <w:u w:val="single"/>
          </w:rPr>
          <w:t>https://www.health.govt.nz/regulation-legislation/puberty-blockers</w:t>
        </w:r>
      </w:hyperlink>
      <w:r>
        <w:t xml:space="preserve"> - On 19 November 2025, the New Zealand Government announced regulations for prescribing puberty blockers. From 19 December 2025, new prescriptions for GnRH analogues for the purpose of puberty suppression in children or adolescents with gender incongruence or gender dysphoria are no longer permitted for patients who have not been prescribed a GnRH analogue previously. Young people already receiving GnRH analogue treatment can continue under their existing care plan with informed consent from both the patient and caregiver. (</w:t>
      </w:r>
      <w:hyperlink r:id="rId17">
        <w:r>
          <w:rPr>
            <w:color w:val="0000EE"/>
            <w:u w:val="single"/>
          </w:rPr>
          <w:t>health.govt.nz</w:t>
        </w:r>
      </w:hyperlink>
      <w:r>
        <w:t>)</w:t>
      </w:r>
      <w:r/>
    </w:p>
    <w:p>
      <w:pPr>
        <w:pStyle w:val="ListNumber"/>
        <w:spacing w:line="240" w:lineRule="auto"/>
        <w:ind w:left="720"/>
      </w:pPr>
      <w:r/>
      <w:hyperlink r:id="rId13">
        <w:r>
          <w:rPr>
            <w:color w:val="0000EE"/>
            <w:u w:val="single"/>
          </w:rPr>
          <w:t>https://clearinghouse.net/case/47842/</w:t>
        </w:r>
      </w:hyperlink>
      <w:r>
        <w:t xml:space="preserve"> - On 18 February 2026, WPATH filed a lawsuit in the U.S. District Court for the District of Columbia against the FTC and its commissioners, seeking declaratory and injunctive relief to block enforcement of a Civil Investigative Demand related to gender-affirming healthcare. The complaint asserted claims under the First and Fourth Amendments, alleging that the FTC unlawfully targeted WPATH’s noncommercial speech and used compulsory process to retaliate against and chill protected expression. (</w:t>
      </w:r>
      <w:hyperlink r:id="rId18">
        <w:r>
          <w:rPr>
            <w:color w:val="0000EE"/>
            <w:u w:val="single"/>
          </w:rPr>
          <w:t>clearinghouse.net</w:t>
        </w:r>
      </w:hyperlink>
      <w:r>
        <w:t>)</w:t>
      </w:r>
      <w:r/>
    </w:p>
    <w:p>
      <w:pPr>
        <w:pStyle w:val="ListNumber"/>
        <w:spacing w:line="240" w:lineRule="auto"/>
        <w:ind w:left="720"/>
      </w:pPr>
      <w:r/>
      <w:hyperlink r:id="rId14">
        <w:r>
          <w:rPr>
            <w:color w:val="0000EE"/>
            <w:u w:val="single"/>
          </w:rPr>
          <w:t>https://clearinghouse.net/case/47833/</w:t>
        </w:r>
      </w:hyperlink>
      <w:r>
        <w:t xml:space="preserve"> - The American Academy of Pediatrics filed a lawsuit on 17 February 2026 in the U.S. District Court for the District of Columbia against the FTC and its commissioners. The complaint asserted causes of action under the First Amendment for retaliation and viewpoint discrimination, and under the Fourth Amendment for unreasonable search, arising from the FTC’s issuance of a Civil Investigative Demand targeting AAP’s speech about gender-affirming care. (</w:t>
      </w:r>
      <w:hyperlink r:id="rId19">
        <w:r>
          <w:rPr>
            <w:color w:val="0000EE"/>
            <w:u w:val="single"/>
          </w:rPr>
          <w:t>clearinghouse.net</w:t>
        </w:r>
      </w:hyperlink>
      <w:r>
        <w:t>)</w:t>
      </w:r>
      <w:r/>
    </w:p>
    <w:p>
      <w:pPr>
        <w:pStyle w:val="ListNumber"/>
        <w:spacing w:line="240" w:lineRule="auto"/>
        <w:ind w:left="720"/>
      </w:pPr>
      <w:r/>
      <w:hyperlink r:id="rId20">
        <w:r>
          <w:rPr>
            <w:color w:val="0000EE"/>
            <w:u w:val="single"/>
          </w:rPr>
          <w:t>https://www.youtube.com/watch?v=QUlkhu3D3vY</w:t>
        </w:r>
      </w:hyperlink>
      <w:r>
        <w:t xml:space="preserve"> - The New Zealand government has announced a ban on new prescriptions of puberty-blocking drugs for young transgender people starting 19 December 2025. Those already taking puberty blockers will be allowed to continue. Puberty blockers temporarily suppress hormones that cause puberty. If treatment stops, then puberty resumes. In New Zealand in 2023, 113 young people were started on puberty blockers, down from 140 in 2021.</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ennymarie.nz/p/america-just-did-what-new-zealand" TargetMode="External"/><Relationship Id="rId10" Type="http://schemas.openxmlformats.org/officeDocument/2006/relationships/hyperlink" Target="https://www.axios.com/2026/06/17/ftc-lawsuit-medical-group-trans-care" TargetMode="External"/><Relationship Id="rId11" Type="http://schemas.openxmlformats.org/officeDocument/2006/relationships/hyperlink" Target="https://apnews.com/article/91825f64800a6aadfa4f2da989742124" TargetMode="External"/><Relationship Id="rId12" Type="http://schemas.openxmlformats.org/officeDocument/2006/relationships/hyperlink" Target="https://www.health.govt.nz/regulation-legislation/puberty-blockers" TargetMode="External"/><Relationship Id="rId13" Type="http://schemas.openxmlformats.org/officeDocument/2006/relationships/hyperlink" Target="https://clearinghouse.net/case/47842/" TargetMode="External"/><Relationship Id="rId14" Type="http://schemas.openxmlformats.org/officeDocument/2006/relationships/hyperlink" Target="https://clearinghouse.net/case/47833/" TargetMode="External"/><Relationship Id="rId15" Type="http://schemas.openxmlformats.org/officeDocument/2006/relationships/hyperlink" Target="https://www.axios.com/2026/06/17/ftc-lawsuit-medical-group-trans-care?utm_source=openai" TargetMode="External"/><Relationship Id="rId16" Type="http://schemas.openxmlformats.org/officeDocument/2006/relationships/hyperlink" Target="https://apnews.com/article/91825f64800a6aadfa4f2da989742124?utm_source=openai" TargetMode="External"/><Relationship Id="rId17" Type="http://schemas.openxmlformats.org/officeDocument/2006/relationships/hyperlink" Target="https://www.health.govt.nz/regulation-legislation/puberty-blockers?utm_source=openai" TargetMode="External"/><Relationship Id="rId18" Type="http://schemas.openxmlformats.org/officeDocument/2006/relationships/hyperlink" Target="https://clearinghouse.net/case/47842/?utm_source=openai" TargetMode="External"/><Relationship Id="rId19" Type="http://schemas.openxmlformats.org/officeDocument/2006/relationships/hyperlink" Target="https://clearinghouse.net/case/47833/?utm_source=openai" TargetMode="External"/><Relationship Id="rId20" Type="http://schemas.openxmlformats.org/officeDocument/2006/relationships/hyperlink" Target="https://www.youtube.com/watch?v=QUlkhu3D3v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