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Pharmacist Practices for Inclusive LGBTQ+ Care: A Practical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shifts at the counter can change lives , pharmacists are uniquely placed to make LGBTQ+ care friendlier, safer and more accessible, and this guide explains where to start and why it matters for patients and practices alike.</w:t>
      </w:r>
      <w:r/>
    </w:p>
    <w:p>
      <w:r/>
      <w:r>
        <w:t>Essential Takeaways</w:t>
      </w:r>
      <w:r/>
      <w:r/>
    </w:p>
    <w:p>
      <w:pPr>
        <w:pStyle w:val="ListBullet"/>
        <w:spacing w:line="240" w:lineRule="auto"/>
        <w:ind w:left="720"/>
      </w:pPr>
      <w:r/>
      <w:r>
        <w:rPr>
          <w:b/>
        </w:rPr>
        <w:t>First contact matters:</w:t>
      </w:r>
      <w:r>
        <w:t xml:space="preserve"> Pharmacists are often the first health professional a patient sees, so friendliness and correct name/pronoun use reduce anxiety and build trust. </w:t>
      </w:r>
      <w:r/>
    </w:p>
    <w:p>
      <w:pPr>
        <w:pStyle w:val="ListBullet"/>
        <w:spacing w:line="240" w:lineRule="auto"/>
        <w:ind w:left="720"/>
      </w:pPr>
      <w:r/>
      <w:r>
        <w:rPr>
          <w:b/>
        </w:rPr>
        <w:t>Use practical tools:</w:t>
      </w:r>
      <w:r>
        <w:t xml:space="preserve"> Following the APhA and Human Rights Campaign guidance helps staff adopt concrete steps, from intake forms to counselling language. </w:t>
      </w:r>
      <w:r/>
    </w:p>
    <w:p>
      <w:pPr>
        <w:pStyle w:val="ListBullet"/>
        <w:spacing w:line="240" w:lineRule="auto"/>
        <w:ind w:left="720"/>
      </w:pPr>
      <w:r/>
      <w:r>
        <w:rPr>
          <w:b/>
        </w:rPr>
        <w:t>Clinical awareness:</w:t>
      </w:r>
      <w:r>
        <w:t xml:space="preserve"> Knowing basics of gender-affirming medications and interactions is important, and pharmacies should link to specialist services when needed. </w:t>
      </w:r>
      <w:r/>
    </w:p>
    <w:p>
      <w:pPr>
        <w:pStyle w:val="ListBullet"/>
        <w:spacing w:line="240" w:lineRule="auto"/>
        <w:ind w:left="720"/>
      </w:pPr>
      <w:r/>
      <w:r>
        <w:rPr>
          <w:b/>
        </w:rPr>
        <w:t>Advocate locally:</w:t>
      </w:r>
      <w:r>
        <w:t xml:space="preserve"> Small acts at the counter and involvement in policy or workplace training both improve care access. </w:t>
      </w:r>
      <w:r/>
    </w:p>
    <w:p>
      <w:pPr>
        <w:pStyle w:val="ListBullet"/>
        <w:spacing w:line="240" w:lineRule="auto"/>
        <w:ind w:left="720"/>
      </w:pPr>
      <w:r/>
      <w:r>
        <w:rPr>
          <w:b/>
        </w:rPr>
        <w:t>Keep learning:</w:t>
      </w:r>
      <w:r>
        <w:t xml:space="preserve"> Lifelong learning and humble curiosity, admitting you don’t have all the answers, create safer encounters for transgender and gender-diverse patients.</w:t>
      </w:r>
      <w:r/>
      <w:r/>
    </w:p>
    <w:p>
      <w:pPr>
        <w:pStyle w:val="Heading2"/>
      </w:pPr>
      <w:r>
        <w:t>Why pharmacists can lead the way in LGBTQ+ access</w:t>
      </w:r>
      <w:r/>
    </w:p>
    <w:p>
      <w:r/>
      <w:r>
        <w:t>Pharmacists often see patients when they’re anxious, curious or simply out of other options; that quiet, practical contact can shape someone’s whole experience of healthcare. According to the episode hosted by Drug Topics, community pharmacists who adopt compassion-first attitudes reduce the likelihood that LGBTQ+ people avoid care because of feared stigma. That warm, tidy exchange at the counter , name, pronouns, a respectful tone , matters more than many realise.</w:t>
      </w:r>
      <w:r/>
    </w:p>
    <w:p>
      <w:r/>
      <w:r>
        <w:t>Pharmacy teams can be quick to act on these front-line interactions. Simple training and updated intake paperwork lift the burden off patients having to “out” or explain themselves repeatedly. Treating respect as standard practice sends a clear message: you belong here.</w:t>
      </w:r>
      <w:r/>
    </w:p>
    <w:p>
      <w:pPr>
        <w:pStyle w:val="Heading2"/>
      </w:pPr>
      <w:r>
        <w:t>Start simple: language, forms and the counter</w:t>
      </w:r>
      <w:r/>
    </w:p>
    <w:p>
      <w:r/>
      <w:r>
        <w:t>Small administrative changes create big emotional shifts. The APhA and Human Rights Campaign guide highlighted in the podcast recommends inclusive intake forms, optional fields for pronouns, and staff scripting so everyone uses consistent, respectful language. These are low-cost fixes that make waiting at the window less fraught and more human.</w:t>
      </w:r>
      <w:r/>
    </w:p>
    <w:p>
      <w:r/>
      <w:r>
        <w:t>Practically, swap binary checkboxes for open fields when possible, add pronoun options on name badges, and train staff on how to apologise and correct mistakes smoothly. It’s not about perfect knowledge; it’s about making effort and signalling safety.</w:t>
      </w:r>
      <w:r/>
    </w:p>
    <w:p>
      <w:pPr>
        <w:pStyle w:val="Heading2"/>
      </w:pPr>
      <w:r>
        <w:t>Clinical essentials: knowing enough to refer confidently</w:t>
      </w:r>
      <w:r/>
    </w:p>
    <w:p>
      <w:r/>
      <w:r>
        <w:t>Pharmacists don’t need to be specialists to help transgender and gender-diverse patients , they need clinical awareness. That means understanding common gender-affirming medicines, potential drug interactions, and monitoring needs, plus when to signpost to dedicated gender-health clinics or pharmacists with specialist training.</w:t>
      </w:r>
      <w:r/>
    </w:p>
    <w:p>
      <w:r/>
      <w:r>
        <w:t>Health systems like university and hospital-based gender health services offer models for collaboration and referral. Partnering with local clinics, or linking patients to resources such as LGBT-friendly primary care, keeps pharmacy in the loop without asking every team member to be an expert overnight.</w:t>
      </w:r>
      <w:r/>
    </w:p>
    <w:p>
      <w:pPr>
        <w:pStyle w:val="Heading2"/>
      </w:pPr>
      <w:r>
        <w:t>Training, policy and advocacy , from micro to macro</w:t>
      </w:r>
      <w:r/>
    </w:p>
    <w:p>
      <w:r/>
      <w:r>
        <w:t>Advocacy isn’t only petitions and legislative hearings; it’s also the small, repeatable acts performed every day. The Drug Topics conversation stresses that addressing a patient by their chosen name at the counter is as much a form of advocacy as supporting workplace policy changes. Both matter.</w:t>
      </w:r>
      <w:r/>
    </w:p>
    <w:p>
      <w:r/>
      <w:r>
        <w:t>Encouraging staff to pursue accredited training, and pushing for pharmacy policies that protect patient dignity, creates a robust environment. Where possible, get involved with local LGBTQ+ health initiatives or volunteer pharmacy time for community clinics , those links build trust and practical experience.</w:t>
      </w:r>
      <w:r/>
    </w:p>
    <w:p>
      <w:pPr>
        <w:pStyle w:val="Heading2"/>
      </w:pPr>
      <w:r>
        <w:t>Resources and partnerships to plug into now</w:t>
      </w:r>
      <w:r/>
    </w:p>
    <w:p>
      <w:r/>
      <w:r>
        <w:t>You don’t have to build a programme from scratch. Established resources such as the Human Rights Campaign’s transgender pharmacy guide, university gender-health services, and local LGBTQ+ clinics provide ready-made tools and referral networks. These partners help with staff education, clinical questions and patient signposting.</w:t>
      </w:r>
      <w:r/>
    </w:p>
    <w:p>
      <w:r/>
      <w:r>
        <w:t>Start by bookmarking trusted guides, forming a short list of local clinics for referrals, and scheduling a brief in‑service for staff. Even a 30‑minute team meeting can be the beginning of a far more welcoming practice.</w:t>
      </w:r>
      <w:r/>
    </w:p>
    <w:p>
      <w:r/>
      <w:r>
        <w:t>It's a small change that can make every visit kinder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https://www.drugtopics.com/view/scripted-for-her-pharmacists-guide-to-inclusive-lgbtq-patient-care</w:t>
        </w:r>
      </w:hyperlink>
      <w:r>
        <w:t xml:space="preserve"> - Please view link - unable to able to access data</w:t>
      </w:r>
      <w:r/>
    </w:p>
    <w:p>
      <w:pPr>
        <w:pStyle w:val="ListNumber"/>
        <w:spacing w:line="240" w:lineRule="auto"/>
        <w:ind w:left="720"/>
      </w:pPr>
      <w:r/>
      <w:hyperlink r:id="rId10">
        <w:r>
          <w:rPr>
            <w:color w:val="0000EE"/>
            <w:u w:val="single"/>
          </w:rPr>
          <w:t>https://www.thehrcfoundation.org/professional-resources/transgender-pharmacy-guide</w:t>
        </w:r>
      </w:hyperlink>
      <w:r>
        <w:t xml:space="preserve"> - The Human Rights Campaign Foundation and the American Pharmacists Association have released a guide titled 'Providing Inclusive Care and Services for the Transgender and Gender Diverse Community: A Pharmacy Resource Guide'. This resource serves as an educational tool for pharmacists and pharmacy staff, offering guidance on how to be inclusive to transgender, non-binary, and gender-diverse patients. The guide outlines six key qualities of an inclusive pharmacy, including knowledge of LGBTQ+ terms, inclusive communication, gender-related data management, visible symbols of support, staff training, and patient-centred care.</w:t>
      </w:r>
      <w:r/>
    </w:p>
    <w:p>
      <w:pPr>
        <w:pStyle w:val="ListNumber"/>
        <w:spacing w:line="240" w:lineRule="auto"/>
        <w:ind w:left="720"/>
      </w:pPr>
      <w:r/>
      <w:hyperlink r:id="rId13">
        <w:r>
          <w:rPr>
            <w:color w:val="0000EE"/>
            <w:u w:val="single"/>
          </w:rPr>
          <w:t>https://www.uclahealth.org/medical-services/gender-health/about-us</w:t>
        </w:r>
      </w:hyperlink>
      <w:r>
        <w:t xml:space="preserve"> - The UCLA Gender Health Program provides comprehensive medical and surgical care to transgender and gender-diverse individuals. Recognised by the Human Rights Campaign Foundation as a 'Leader in LGBTQ+ Health Equality', UCLA Health offers sensitive, safe, and compassionate care to all patients. The program includes primary care services, hormone therapy, facial reconstruction, and body modification, aiming to support patients in their journey to becoming their true selves.</w:t>
      </w:r>
      <w:r/>
    </w:p>
    <w:p>
      <w:pPr>
        <w:pStyle w:val="ListNumber"/>
        <w:spacing w:line="240" w:lineRule="auto"/>
        <w:ind w:left="720"/>
      </w:pPr>
      <w:r/>
      <w:hyperlink r:id="rId11">
        <w:r>
          <w:rPr>
            <w:color w:val="0000EE"/>
            <w:u w:val="single"/>
          </w:rPr>
          <w:t>https://www.templehealth.org/services/lgbtq-health</w:t>
        </w:r>
      </w:hyperlink>
      <w:r>
        <w:t xml:space="preserve"> - Temple Health is committed to providing excellent healthcare to all individuals, regardless of their sexual orientation or gender identity. Their designated LGBTQ Inclusive Care Providers are specially trained clinicians dedicated to meeting the needs of the LGBTQ community. Temple Health addresses healthcare disparities and discrimination faced by LGBTQ individuals, ensuring a safe, comfortable, and unbiased environment for all patients.</w:t>
      </w:r>
      <w:r/>
    </w:p>
    <w:p>
      <w:pPr>
        <w:pStyle w:val="ListNumber"/>
        <w:spacing w:line="240" w:lineRule="auto"/>
        <w:ind w:left="720"/>
      </w:pPr>
      <w:r/>
      <w:hyperlink r:id="rId15">
        <w:r>
          <w:rPr>
            <w:color w:val="0000EE"/>
            <w:u w:val="single"/>
          </w:rPr>
          <w:t>https://www.vybe.care/services/lgbtq-services/</w:t>
        </w:r>
      </w:hyperlink>
      <w:r>
        <w:t xml:space="preserve"> - Vybe Urgent Care is dedicated to celebrating and welcoming diversity, including the LGBTQ+ community. They provide a safe environment where LGBTQ+ patients can expect inclusive, high-quality, and culturally competent care. Vybe's facilities are trans-friendly, with gender-neutral bathrooms, and their team is trained to respect patients' preferred pronouns and gender identities, handling sensitive topics with respect.</w:t>
      </w:r>
      <w:r/>
    </w:p>
    <w:p>
      <w:pPr>
        <w:pStyle w:val="ListNumber"/>
        <w:spacing w:line="240" w:lineRule="auto"/>
        <w:ind w:left="720"/>
      </w:pPr>
      <w:r/>
      <w:hyperlink r:id="rId14">
        <w:r>
          <w:rPr>
            <w:color w:val="0000EE"/>
            <w:u w:val="single"/>
          </w:rPr>
          <w:t>https://www.upmc.com/services/lgbtqia</w:t>
        </w:r>
      </w:hyperlink>
      <w:r>
        <w:t xml:space="preserve"> - UPMC offers supportive, expert care for members of the LGBTQIA+ community, including lesbian, gay, bisexual, trans, queer, intersex, asexual, genderfluid, and aromantic individuals. Their healthcare services are tailored to meet the unique needs of each patient, offering gender-affirming hormone therapy, gender-affirming surgery, and various other services. UPMC also provides integrated clinics to help LGBTQIA+ and TGD people receive comprehensive care.</w:t>
      </w:r>
      <w:r/>
    </w:p>
    <w:p>
      <w:pPr>
        <w:pStyle w:val="ListNumber"/>
        <w:spacing w:line="240" w:lineRule="auto"/>
        <w:ind w:left="720"/>
      </w:pPr>
      <w:r/>
      <w:hyperlink r:id="rId12">
        <w:r>
          <w:rPr>
            <w:color w:val="0000EE"/>
            <w:u w:val="single"/>
          </w:rPr>
          <w:t>https://www.transinclusivegroup.org/about</w:t>
        </w:r>
      </w:hyperlink>
      <w:r>
        <w:t xml:space="preserve"> - The TransInclusive Group provides resources and a safe space for transgender, nonbinary, and gender-diverse individuals to be their authentic selves. Their services include a Drop-In Resource Center, Case Management, Referral and Navigation to HIV Prevention Care and Linkage (PrEP, PEP), Condom Distribution, In-Home HIV Testing, HIV Prevention Education, and other essential support services. The Transinclusive Emergency Crisis Fund (TECF) offers assistance to transgender individuals in need within the tri-county areas of Miami-Dade, Broward, and Palm Beach Counties.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ugtopics.com/view/scripted-for-her-pharmacists-guide-to-inclusive-lgbtq-patient-care" TargetMode="External"/><Relationship Id="rId10" Type="http://schemas.openxmlformats.org/officeDocument/2006/relationships/hyperlink" Target="https://www.thehrcfoundation.org/professional-resources/transgender-pharmacy-guide" TargetMode="External"/><Relationship Id="rId11" Type="http://schemas.openxmlformats.org/officeDocument/2006/relationships/hyperlink" Target="https://www.templehealth.org/services/lgbtq-health" TargetMode="External"/><Relationship Id="rId12" Type="http://schemas.openxmlformats.org/officeDocument/2006/relationships/hyperlink" Target="https://www.transinclusivegroup.org/about" TargetMode="External"/><Relationship Id="rId13" Type="http://schemas.openxmlformats.org/officeDocument/2006/relationships/hyperlink" Target="https://www.uclahealth.org/medical-services/gender-health/about-us" TargetMode="External"/><Relationship Id="rId14" Type="http://schemas.openxmlformats.org/officeDocument/2006/relationships/hyperlink" Target="https://www.upmc.com/services/lgbtqia" TargetMode="External"/><Relationship Id="rId15" Type="http://schemas.openxmlformats.org/officeDocument/2006/relationships/hyperlink" Target="https://www.vybe.care/services/lgbtq-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