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Understand Florida's New Ban on Municipal Pride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city budgets getting quieter: Florida towns that once funded Pride events are pulling cash and cancelling, and the changes matter for communities, tourism and local traditions. Here's what the law does, how towns are reacting, and what to watch for as budgets are rewritten.</w:t>
      </w:r>
      <w:r/>
    </w:p>
    <w:p>
      <w:r/>
      <w:r>
        <w:t>Essential Takeaways</w:t>
      </w:r>
      <w:r/>
      <w:r/>
    </w:p>
    <w:p>
      <w:pPr>
        <w:pStyle w:val="ListBullet"/>
        <w:spacing w:line="240" w:lineRule="auto"/>
        <w:ind w:left="720"/>
      </w:pPr>
      <w:r/>
      <w:r>
        <w:rPr>
          <w:b/>
        </w:rPr>
        <w:t>What the law does:</w:t>
      </w:r>
      <w:r>
        <w:t xml:space="preserve"> Florida’s SB 1134 restricts municipal support for diversity, equity and inclusion programmes and events, prompting cities to cut Pride funding ahead of the law taking effect. </w:t>
      </w:r>
      <w:r/>
    </w:p>
    <w:p>
      <w:pPr>
        <w:pStyle w:val="ListBullet"/>
        <w:spacing w:line="240" w:lineRule="auto"/>
        <w:ind w:left="720"/>
      </w:pPr>
      <w:r/>
      <w:r>
        <w:rPr>
          <w:b/>
        </w:rPr>
        <w:t>Immediate impact:</w:t>
      </w:r>
      <w:r>
        <w:t xml:space="preserve"> Wilton Manors plans to stop contributing its usual $50,000; Delray Beach pulled $15,000 and cancelled its festival; Monroe County notified Key West of a $75,000 cut. </w:t>
      </w:r>
      <w:r/>
    </w:p>
    <w:p>
      <w:pPr>
        <w:pStyle w:val="ListBullet"/>
        <w:spacing w:line="240" w:lineRule="auto"/>
        <w:ind w:left="720"/>
      </w:pPr>
      <w:r/>
      <w:r>
        <w:rPr>
          <w:b/>
        </w:rPr>
        <w:t>Local reactions:</w:t>
      </w:r>
      <w:r>
        <w:t xml:space="preserve"> Officials and organisers say the moves are disrupting traditions and municipal visibility at parades , small ceremonies, big symbolic losses. </w:t>
      </w:r>
      <w:r/>
    </w:p>
    <w:p>
      <w:pPr>
        <w:pStyle w:val="ListBullet"/>
        <w:spacing w:line="240" w:lineRule="auto"/>
        <w:ind w:left="720"/>
      </w:pPr>
      <w:r/>
      <w:r>
        <w:rPr>
          <w:b/>
        </w:rPr>
        <w:t>Practical effect:</w:t>
      </w:r>
      <w:r>
        <w:t xml:space="preserve"> Budget season is driving pre-emptive decisions, so the law’s influence arrives sooner than its effective date. </w:t>
      </w:r>
      <w:r/>
    </w:p>
    <w:p>
      <w:pPr>
        <w:pStyle w:val="ListBullet"/>
        <w:spacing w:line="240" w:lineRule="auto"/>
        <w:ind w:left="720"/>
      </w:pPr>
      <w:r/>
      <w:r>
        <w:rPr>
          <w:b/>
        </w:rPr>
        <w:t>Emotional cue:</w:t>
      </w:r>
      <w:r>
        <w:t xml:space="preserve"> For many residents the changes feel abrupt and personal , the town’s flag, presence and sponsorship are part of belonging.</w:t>
      </w:r>
      <w:r/>
      <w:r/>
    </w:p>
    <w:p>
      <w:pPr>
        <w:pStyle w:val="Heading2"/>
      </w:pPr>
      <w:r>
        <w:t>What SB 1134 actually says and why cities are reacting now</w:t>
      </w:r>
      <w:r/>
    </w:p>
    <w:p>
      <w:r/>
      <w:r>
        <w:t>Start with the plain fact: the bill restricts municipal support for DEI programmes and related events, and that language is broad enough for officials to rethink sponsorships and in-kind support. According to the Senate’s bill text and committee summary, the new restrictions target municipal spending and programmes tied to diversity and inclusion. Cities facing budget meetings this summer are deciding not to risk allocation that might be deemed non-compliant, so changes are arriving before the statute’s effective date.</w:t>
      </w:r>
      <w:r/>
    </w:p>
    <w:p>
      <w:r/>
      <w:r>
        <w:t>This isn’t just legalese; municipal leaders are choosing caution. Wilton Manors, known for its rainbow-lined streets, has told organisers it will end a $50,000 contribution after this summer. That decision reflects how local governments interpret risk and liability when a law casts a shadow over routine support.</w:t>
      </w:r>
      <w:r/>
    </w:p>
    <w:p>
      <w:pPr>
        <w:pStyle w:val="Heading2"/>
      </w:pPr>
      <w:r>
        <w:t>How small line-items become big cultural losses</w:t>
      </w:r>
      <w:r/>
    </w:p>
    <w:p>
      <w:r/>
      <w:r>
        <w:t>A $15,000 grant or a float with the mayor aboard can sound like a modest municipal expense, but community organisers see them differently. Delray Beach pulled a $15,000 allocation and that festival was cancelled, while Key West learned a planned $75,000 contribution is being removed for the next fiscal year. To residents, it's not just money , it’s visibility, official affirmation and logistics.</w:t>
      </w:r>
      <w:r/>
    </w:p>
    <w:p>
      <w:r/>
      <w:r>
        <w:t>Organisers say budgets underwrite permits, stages and safety planning; losing a municipal sponsor often triggers chain reactions: vendors pull out, insurers reassess, and volunteers lose momentum. So municipalities cutting funds during budget season are effectively rewriting the summer calendar.</w:t>
      </w:r>
      <w:r/>
    </w:p>
    <w:p>
      <w:pPr>
        <w:pStyle w:val="Heading2"/>
      </w:pPr>
      <w:r>
        <w:t>Politics, optics and the pre-emptive budget cycle</w:t>
      </w:r>
      <w:r/>
    </w:p>
    <w:p>
      <w:r/>
      <w:r>
        <w:t>Why act now if the law takes effect later? Cities face practical rules: budgets must be finalised ahead of the fiscal year, and treasurers prefer predictable legal footing. With SB 1134 pending, officials told reporters they don’t want to commit funds that could later be challenged or deemed illegal. Axios and local reporting show this is a pattern across multiple municipalities, not a one-off.</w:t>
      </w:r>
      <w:r/>
    </w:p>
    <w:p>
      <w:r/>
      <w:r>
        <w:t>There’s also optics at play. Elected officials must balance the views of residents, business groups and state-level accountability. For some, the safest political move is to withdraw support and avoid legal entanglement, even if the community reaction is strong.</w:t>
      </w:r>
      <w:r/>
    </w:p>
    <w:p>
      <w:pPr>
        <w:pStyle w:val="Heading2"/>
      </w:pPr>
      <w:r>
        <w:t>What this means for Pride events, local economies and tourism</w:t>
      </w:r>
      <w:r/>
    </w:p>
    <w:p>
      <w:r/>
      <w:r>
        <w:t>Pride festivals are both cultural and economic engines. Large events draw tens of thousands of visitors , Wilton Manors expects at least 50,000 , and benefit local hospitality, retail and transport. When a city withdraws sponsorship, the hit isn’t just symbolic; it can shave revenue from small businesses and reduce the scale of public programming.</w:t>
      </w:r>
      <w:r/>
    </w:p>
    <w:p>
      <w:r/>
      <w:r>
        <w:t>Tourism-dependent towns have to weigh short-term political pressure against long-term reputational effects. Some communities are exploring alternative funding: private sponsorship, nonprofit partnerships and grassroots fundraising. Those routes can keep events alive, but they often reduce municipal presence and official endorsement, which matters to many attendees.</w:t>
      </w:r>
      <w:r/>
    </w:p>
    <w:p>
      <w:pPr>
        <w:pStyle w:val="Heading2"/>
      </w:pPr>
      <w:r>
        <w:t>What residents and organisers can do now</w:t>
      </w:r>
      <w:r/>
    </w:p>
    <w:p>
      <w:r/>
      <w:r>
        <w:t>If you care about keeping a festival going, act early. Attend budget hearings, ask councils how they interpret the new law, and advocate for clear legal advice on what is or isn’t permitted. Consider local fundraising drives or forming a 501(c)(3) equivalent to handle sponsorships and permits, which can create a firewall between municipal funding and event operations.</w:t>
      </w:r>
      <w:r/>
    </w:p>
    <w:p>
      <w:r/>
      <w:r>
        <w:t>Organisers should also document the practical functions municipal funds covered , safety, sanitation, traffic control , and plan contingencies. And businesses that benefit from Pride-driven trade could step up as sponsors; that not only replaces revenue but makes a public statement.</w:t>
      </w:r>
      <w:r/>
    </w:p>
    <w:p>
      <w:pPr>
        <w:pStyle w:val="Heading2"/>
      </w:pPr>
      <w:r>
        <w:t>Where this goes next: legal tests and community responses</w:t>
      </w:r>
      <w:r/>
    </w:p>
    <w:p>
      <w:r/>
      <w:r>
        <w:t>Expect legal challenges and clarifications. When statutes sweep broadly, courts and administrative guidance often refine what’s actually prohibited. Local governments or advocacy groups may seek rulings that narrow SB 1134’s reach or define exemptions, and those outcomes will shape budgets for 2027 and beyond.</w:t>
      </w:r>
      <w:r/>
    </w:p>
    <w:p>
      <w:r/>
      <w:r>
        <w:t>Meanwhile, communities will keep adapting. Some festivals may shrink, others will shift to private funding, and the familiar sight of mayors on floats could become rarer. For people who’ve long taken municipal support for granted, that change will feel tangible , and stark.</w:t>
      </w:r>
      <w:r/>
    </w:p>
    <w:p>
      <w:r/>
      <w:r>
        <w:t>It's a small change on paper that could make a big difference in how communities celebrate and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[3]</w:t>
        </w:r>
      </w:hyperlink>
      <w:r>
        <w:t xml:space="preserve">- Paragraph 2: </w:t>
      </w:r>
      <w:hyperlink r:id="rId10">
        <w:r>
          <w:rPr>
            <w:color w:val="0000EE"/>
            <w:u w:val="single"/>
          </w:rPr>
          <w:t>[5]</w:t>
        </w:r>
      </w:hyperlink>
      <w:r>
        <w:t xml:space="preserve">, </w:t>
      </w:r>
      <w:hyperlink r:id="rId12">
        <w:r>
          <w:rPr>
            <w:color w:val="0000EE"/>
            <w:u w:val="single"/>
          </w:rPr>
          <w:t>[2]</w:t>
        </w:r>
      </w:hyperlink>
      <w:r>
        <w:t xml:space="preserve">- Paragraph 3: </w:t>
      </w:r>
      <w:hyperlink r:id="rId10">
        <w:r>
          <w:rPr>
            <w:color w:val="0000EE"/>
            <w:u w:val="single"/>
          </w:rPr>
          <w:t>[5]</w:t>
        </w:r>
      </w:hyperlink>
      <w:r>
        <w:t xml:space="preserve">, </w:t>
      </w:r>
      <w:hyperlink r:id="rId9">
        <w:r>
          <w:rPr>
            <w:color w:val="0000EE"/>
            <w:u w:val="single"/>
          </w:rPr>
          <w:t>[1]</w:t>
        </w:r>
      </w:hyperlink>
      <w:r>
        <w:t xml:space="preserve">- Paragraph 4: </w:t>
      </w:r>
      <w:hyperlink r:id="rId13">
        <w:r>
          <w:rPr>
            <w:color w:val="0000EE"/>
            <w:u w:val="single"/>
          </w:rPr>
          <w:t>[4]</w:t>
        </w:r>
      </w:hyperlink>
      <w:r>
        <w:t xml:space="preserve">, </w:t>
      </w:r>
      <w:hyperlink r:id="rId10">
        <w:r>
          <w:rPr>
            <w:color w:val="0000EE"/>
            <w:u w:val="single"/>
          </w:rPr>
          <w:t>[5]</w:t>
        </w:r>
      </w:hyperlink>
      <w:r>
        <w:t xml:space="preserve">- Paragraph 5: </w:t>
      </w:r>
      <w:hyperlink r:id="rId10">
        <w:r>
          <w:rPr>
            <w:color w:val="0000EE"/>
            <w:u w:val="single"/>
          </w:rPr>
          <w:t>[5]</w:t>
        </w:r>
      </w:hyperlink>
      <w:r>
        <w:t xml:space="preserve">, </w:t>
      </w:r>
      <w:hyperlink r:id="rId9">
        <w:r>
          <w:rPr>
            <w:color w:val="0000EE"/>
            <w:u w:val="single"/>
          </w:rPr>
          <w:t>[1]</w:t>
        </w:r>
      </w:hyperlink>
      <w:r>
        <w:t xml:space="preserve">- Paragraph 6: </w:t>
      </w:r>
      <w:hyperlink r:id="rId14">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https://www.joemygod.com/2026/06/how-floridas-new-law-is-already-wrecking-pride/</w:t>
        </w:r>
      </w:hyperlink>
      <w:r>
        <w:t xml:space="preserve"> - Please view link - unable to able to access data</w:t>
      </w:r>
      <w:r/>
    </w:p>
    <w:p>
      <w:pPr>
        <w:pStyle w:val="ListNumber"/>
        <w:spacing w:line="240" w:lineRule="auto"/>
        <w:ind w:left="720"/>
      </w:pPr>
      <w:r/>
      <w:hyperlink r:id="rId12">
        <w:r>
          <w:rPr>
            <w:color w:val="0000EE"/>
            <w:u w:val="single"/>
          </w:rPr>
          <w:t>https://www.flsenate.gov/Session/Bill/2026/1134/BillText/Filed/PDF</w:t>
        </w:r>
      </w:hyperlink>
      <w:r>
        <w:t xml:space="preserve"> - This document provides the filed text of Senate Bill 1134, which prohibits counties and municipalities in Florida from funding, promoting, or taking official actions related to diversity, equity, and inclusion (DEI). It outlines the definitions of DEI and DEI offices, specifies penalties for violations, and details exceptions to the prohibitions. The bill is set to take effect on January 1, 2027, and includes provisions for potential legal actions against local governments that violate its terms.</w:t>
      </w:r>
      <w:r/>
    </w:p>
    <w:p>
      <w:pPr>
        <w:pStyle w:val="ListNumber"/>
        <w:spacing w:line="240" w:lineRule="auto"/>
        <w:ind w:left="720"/>
      </w:pPr>
      <w:r/>
      <w:hyperlink r:id="rId11">
        <w:r>
          <w:rPr>
            <w:color w:val="0000EE"/>
            <w:u w:val="single"/>
          </w:rPr>
          <w:t>https://www.flsenate.gov/Committees/BillSummaries/2026/html/1134</w:t>
        </w:r>
      </w:hyperlink>
      <w:r>
        <w:t xml:space="preserve"> - This page offers a summary of Senate Bill 1134, detailing its provisions that prohibit local governments in Florida from funding or promoting DEI initiatives. It explains the definitions of DEI and DEI offices, the penalties for violations, and the exceptions to the prohibitions. The bill is scheduled to take effect on January 1, 2027, and allows for legal actions against local governments that do not comply with its provisions.</w:t>
      </w:r>
      <w:r/>
    </w:p>
    <w:p>
      <w:pPr>
        <w:pStyle w:val="ListNumber"/>
        <w:spacing w:line="240" w:lineRule="auto"/>
        <w:ind w:left="720"/>
      </w:pPr>
      <w:r/>
      <w:hyperlink r:id="rId13">
        <w:r>
          <w:rPr>
            <w:color w:val="0000EE"/>
            <w:u w:val="single"/>
          </w:rPr>
          <w:t>https://www.axios.com/local/miami/2026/03/05/florida-diversity-dei-bill</w:t>
        </w:r>
      </w:hyperlink>
      <w:r>
        <w:t xml:space="preserve"> - Local leaders across Florida have strongly criticized new state legislation, HB 1001/SB 1134, which would prohibit cities and counties from funding or promoting events and activities that reference race, gender, or sexual orientation. The bill, which passed the Senate, also bans local governments from creating diversity, equity, and inclusion (DEI) offices. Critics, including leaders from both political parties, argue the bill is overly broad and could jeopardize support for various cultural events like LGBTQ Pride or even St. Patrick’s Day.</w:t>
      </w:r>
      <w:r/>
    </w:p>
    <w:p>
      <w:pPr>
        <w:pStyle w:val="ListNumber"/>
        <w:spacing w:line="240" w:lineRule="auto"/>
        <w:ind w:left="720"/>
      </w:pPr>
      <w:r/>
      <w:hyperlink r:id="rId10">
        <w:r>
          <w:rPr>
            <w:color w:val="0000EE"/>
            <w:u w:val="single"/>
          </w:rPr>
          <w:t>https://www.axios.com/local/fort-lauderdale/2026/06/10/fort-lauderdale-pride-month-events-wilton-manors</w:t>
        </w:r>
      </w:hyperlink>
      <w:r>
        <w:t xml:space="preserve"> - Fort Lauderdale and Wilton Manors are hosting a vibrant lineup of events to celebrate Pride Month throughout June. Highlights include the Floatarama Cruise &amp; Tea Dance aboard the Catalina yacht with DJs, food, and drinks. The Gay Men's Chorus of South Florida will perform 'Invincible' at the Broward Center, commemorating ten years since the Pulse nightclub tragedy. The annual Wilton Manors Stonewall Pride Festival and Parade will return with outdoor stages, vendors, music, and a nighttime float parade.</w:t>
      </w:r>
      <w:r/>
    </w:p>
    <w:p>
      <w:pPr>
        <w:pStyle w:val="ListNumber"/>
        <w:spacing w:line="240" w:lineRule="auto"/>
        <w:ind w:left="720"/>
      </w:pPr>
      <w:r/>
      <w:hyperlink r:id="rId14">
        <w:r>
          <w:rPr>
            <w:color w:val="0000EE"/>
            <w:u w:val="single"/>
          </w:rPr>
          <w:t>https://translegislation.com/bills/2026/FL/S1134</w:t>
        </w:r>
      </w:hyperlink>
      <w:r>
        <w:t xml:space="preserve"> - This page provides information on Florida Senate Bill 1134, which prohibits counties and municipalities from funding or promoting DEI initiatives. It includes the bill's legislative session details, selected quotes, and definitions related to DEI and DEI offices. The bill is active and was introduced in the 2026 Regular Session.</w:t>
      </w:r>
      <w:r/>
    </w:p>
    <w:p>
      <w:pPr>
        <w:pStyle w:val="ListNumber"/>
        <w:spacing w:line="240" w:lineRule="auto"/>
        <w:ind w:left="720"/>
      </w:pPr>
      <w:r/>
      <w:hyperlink r:id="rId13">
        <w:r>
          <w:rPr>
            <w:color w:val="0000EE"/>
            <w:u w:val="single"/>
          </w:rPr>
          <w:t>https://www.axios.com/local/miami/2026/03/05/florida-diversity-dei-bill</w:t>
        </w:r>
      </w:hyperlink>
      <w:r>
        <w:t xml:space="preserve"> - Local leaders across Florida have strongly criticized new state legislation, HB 1001/SB 1134, which would prohibit cities and counties from funding or promoting events and activities that reference race, gender, or sexual orientation. The bill, which passed the Senate, also bans local governments from creating diversity, equity, and inclusion (DEI) offices. Critics, including leaders from both political parties, argue the bill is overly broad and could jeopardize support for various cultural events like LGBTQ Pride or even St. Patrick’s 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emygod.com/2026/06/how-floridas-new-law-is-already-wrecking-pride/" TargetMode="External"/><Relationship Id="rId10" Type="http://schemas.openxmlformats.org/officeDocument/2006/relationships/hyperlink" Target="https://www.axios.com/local/fort-lauderdale/2026/06/10/fort-lauderdale-pride-month-events-wilton-manors" TargetMode="External"/><Relationship Id="rId11" Type="http://schemas.openxmlformats.org/officeDocument/2006/relationships/hyperlink" Target="https://www.flsenate.gov/Committees/BillSummaries/2026/html/1134" TargetMode="External"/><Relationship Id="rId12" Type="http://schemas.openxmlformats.org/officeDocument/2006/relationships/hyperlink" Target="https://www.flsenate.gov/Session/Bill/2026/1134/BillText/Filed/PDF" TargetMode="External"/><Relationship Id="rId13" Type="http://schemas.openxmlformats.org/officeDocument/2006/relationships/hyperlink" Target="https://www.axios.com/local/miami/2026/03/05/florida-diversity-dei-bill" TargetMode="External"/><Relationship Id="rId14" Type="http://schemas.openxmlformats.org/officeDocument/2006/relationships/hyperlink" Target="https://translegislation.com/bills/2026/FL/S11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