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Steps for LGBTQ+ Families Facing Court in Nebraska and Iowa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being out can change a legal case: LGBTQ+ people navigating divorce, custody, adoption, or name changes deserve clear, practical guidance and fierce advocacy that keeps identity from becoming the story. This piece explains what to expect in Nebraska and Iowa, why it matters, and how to prepare.</w:t>
      </w:r>
      <w:r/>
    </w:p>
    <w:p>
      <w:r/>
      <w:r>
        <w:t>Essential takeaways</w:t>
      </w:r>
      <w:r/>
      <w:r/>
    </w:p>
    <w:p>
      <w:pPr>
        <w:pStyle w:val="ListBullet"/>
        <w:spacing w:line="240" w:lineRule="auto"/>
        <w:ind w:left="720"/>
      </w:pPr>
      <w:r/>
      <w:r>
        <w:rPr>
          <w:b/>
        </w:rPr>
        <w:t>Minority stress matters:</w:t>
      </w:r>
      <w:r>
        <w:t xml:space="preserve"> being out during litigation increases emotional strain and can worsen mental health, so expect extra pressure and plan supports.</w:t>
      </w:r>
      <w:r/>
    </w:p>
    <w:p>
      <w:pPr>
        <w:pStyle w:val="ListBullet"/>
        <w:spacing w:line="240" w:lineRule="auto"/>
        <w:ind w:left="720"/>
      </w:pPr>
      <w:r/>
      <w:r>
        <w:rPr>
          <w:b/>
        </w:rPr>
        <w:t>Disclosure risks:</w:t>
      </w:r>
      <w:r>
        <w:t xml:space="preserve"> court procedures and filings can inadvertently out people; name-change publication rules and court records are common exposure points.</w:t>
      </w:r>
      <w:r/>
    </w:p>
    <w:p>
      <w:pPr>
        <w:pStyle w:val="ListBullet"/>
        <w:spacing w:line="240" w:lineRule="auto"/>
        <w:ind w:left="720"/>
      </w:pPr>
      <w:r/>
      <w:r>
        <w:rPr>
          <w:b/>
        </w:rPr>
        <w:t>Focus on facts:</w:t>
      </w:r>
      <w:r>
        <w:t xml:space="preserve"> custody decisions should hinge on parenting evidence, not identity; a prepared attorney keeps the case on children’s needs.</w:t>
      </w:r>
      <w:r/>
    </w:p>
    <w:p>
      <w:pPr>
        <w:pStyle w:val="ListBullet"/>
        <w:spacing w:line="240" w:lineRule="auto"/>
        <w:ind w:left="720"/>
      </w:pPr>
      <w:r/>
      <w:r>
        <w:rPr>
          <w:b/>
        </w:rPr>
        <w:t>Practical defences:</w:t>
      </w:r>
      <w:r>
        <w:t xml:space="preserve"> proactive paperwork, witness lists, and on-record objections can limit irrelevant identity-focused attacks.</w:t>
      </w:r>
      <w:r/>
    </w:p>
    <w:p>
      <w:pPr>
        <w:pStyle w:val="ListBullet"/>
        <w:spacing w:line="240" w:lineRule="auto"/>
        <w:ind w:left="720"/>
      </w:pPr>
      <w:r/>
      <w:r>
        <w:rPr>
          <w:b/>
        </w:rPr>
        <w:t>Local reality check:</w:t>
      </w:r>
      <w:r>
        <w:t xml:space="preserve"> Nebraska law still allows consideration of “moral fitness,” so strategy must account for judicial discretion and local politics.</w:t>
      </w:r>
      <w:r/>
      <w:r/>
    </w:p>
    <w:p>
      <w:pPr>
        <w:pStyle w:val="Heading2"/>
      </w:pPr>
      <w:r>
        <w:t>Why coming out in court feels different , and worse</w:t>
      </w:r>
      <w:r/>
    </w:p>
    <w:p>
      <w:r/>
      <w:r>
        <w:t>Walking into a courtroom with your identity already known feels like carrying a lighted match into a dry room; the legal process has a way of turning private truths into official record. Studies of minority stress show the background anxiety LGBTQ+ people carry is magnified when others can force disclosure. Researchers and advocates report misgendering, inappropriate revelations, and hostile comments by courthouse staff , small harms that add up and change how people experience one of the toughest days of their lives. So don’t underestimate the emotional toll; plan for it like you would for any other major stressor.</w:t>
      </w:r>
      <w:r/>
    </w:p>
    <w:p>
      <w:pPr>
        <w:pStyle w:val="Heading2"/>
      </w:pPr>
      <w:r>
        <w:t>Nebraska’s rules and why publication and “moral fitness” matter</w:t>
      </w:r>
      <w:r/>
    </w:p>
    <w:p>
      <w:r/>
      <w:r>
        <w:t>The detail that trips many people up is procedural: Nebraska often requires publication for name changes and keeps a statutory clause letting judges consider parents’ “moral fitness, including their sexual conduct.” On paper that’s neutral, but discretion gives room for bias to creep in. A routine, uncontested name change can become a public announcement of something very personal unless you can qualify for a safety waiver. Practically, that means early assessment of risk and contingency plans , for instance, asking whether a waiver applies, exploring sealed filings where feasible, and lining up expert declarations where necessary.</w:t>
      </w:r>
      <w:r/>
    </w:p>
    <w:p>
      <w:pPr>
        <w:pStyle w:val="Heading2"/>
      </w:pPr>
      <w:r>
        <w:t>How bias usually shows up in family court , subtle, not theatrical</w:t>
      </w:r>
      <w:r/>
    </w:p>
    <w:p>
      <w:r/>
      <w:r>
        <w:t>Bias rarely arrives as overt hostility; it often looks like different questions, odd assumptions about parenting roles, or lines of argument that steer attention away from a child’s needs and toward a parent’s identity. That’s why evidence matters. Courts respond to records: housing stability, parenting schedules, school communications, and witness statements that show daily involvement. Your lawyer’s job is to frame the narrative before the other side does, to object to irrelevant lines of questioning, and to introduce evidence that makes identity irrelevant to the decision at hand.</w:t>
      </w:r>
      <w:r/>
    </w:p>
    <w:p>
      <w:pPr>
        <w:pStyle w:val="Heading2"/>
      </w:pPr>
      <w:r>
        <w:t>What lawyers and advocates can do , representation vs affirmation</w:t>
      </w:r>
      <w:r/>
    </w:p>
    <w:p>
      <w:r/>
      <w:r>
        <w:t>There’s a gap between having a lawyer and having an affirming advocate. An affirming lawyer understands the landscape you’re entering, anticipates identity-based attacks, and proactively protects you , from handling pronouns in filings to pushing back on invasive discovery. According to legal scholarship and practice guides, the strongest defence is preparation: clarifying the contested issues, limiting discovery to relevant areas, and creating a robust factual record. Affiliation with local advocacy groups or mental health professionals can also supply corroborating evidence about the stress and risks of forced disclosure.</w:t>
      </w:r>
      <w:r/>
    </w:p>
    <w:p>
      <w:pPr>
        <w:pStyle w:val="Heading2"/>
      </w:pPr>
      <w:r>
        <w:t>Practical steps you can take now</w:t>
      </w:r>
      <w:r/>
    </w:p>
    <w:p>
      <w:r/>
      <w:r>
        <w:t>Start small and be tactical. First, get an initial risk assessment: which filings will expose personal details, and can you minimise public disclosure? Ask about waivers for publication and whether any filings can be sealed. Build a parenting portfolio: calendars, school emails, photos of daily routines, and third-party statements that show your role. Prep for misgendering and name slips by requesting pronoun usage be recorded on the docket and by flagging preferred forms of address in written submissions. Finally, create a support plan , a therapist, community contact, or advocate , because emotional resilience changes how you navigate the process.</w:t>
      </w:r>
      <w:r/>
    </w:p>
    <w:p>
      <w:pPr>
        <w:pStyle w:val="Heading2"/>
      </w:pPr>
      <w:r>
        <w:t>Looking ahead: legal climate and local protections</w:t>
      </w:r>
      <w:r/>
    </w:p>
    <w:p>
      <w:r/>
      <w:r>
        <w:t>The landscape isn’t uniformly bleak. There are judicial conduct rules forbidding bias and local nondiscrimination protections in some cities, and courts increasingly recognise that sexual orientation and gender identity do not predict parenting ability. Still, political debates and patchwork laws mean outcomes vary by jurisdiction and judge. That uncertainty reinforces the value of counsel who know local practice, can anticipate where discretion might be exercised, and can fight to keep the case centred on facts, not identity.</w:t>
      </w:r>
      <w:r/>
    </w:p>
    <w:p>
      <w:r/>
      <w:r>
        <w:t>It's a small but meaningful change to have an advocate who keeps the focus on your parenting and your family's wellbeing.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3">
        <w:r>
          <w:rPr>
            <w:color w:val="0000EE"/>
            <w:u w:val="single"/>
          </w:rPr>
          <w:t>[7]</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https://mcgilllawyers.com/mcgill-law-blog/lgbtq-family-law-identity</w:t>
        </w:r>
      </w:hyperlink>
      <w:r>
        <w:t xml:space="preserve"> - Please view link - unable to able to access data</w:t>
      </w:r>
      <w:r/>
    </w:p>
    <w:p>
      <w:pPr>
        <w:pStyle w:val="ListNumber"/>
        <w:spacing w:line="240" w:lineRule="auto"/>
        <w:ind w:left="720"/>
      </w:pPr>
      <w:r/>
      <w:hyperlink r:id="rId10">
        <w:r>
          <w:rPr>
            <w:color w:val="0000EE"/>
            <w:u w:val="single"/>
          </w:rPr>
          <w:t>https://repository.law.umich.edu/mlr/vol117/iss8/3/</w:t>
        </w:r>
      </w:hyperlink>
      <w:r>
        <w:t xml:space="preserve"> - This article examines the treatment of transgender parents within the family court system, highlighting systematic biases that often result in the loss of parental rights. Despite legal advancements in other areas, transgender parents frequently face discrimination, with courts considering factors like transition status and gender expression in custody decisions. The authors advocate for reforms to balance judicial discretion with protections against bias, aiming to safeguard the interests of transgender parents and their children.</w:t>
      </w:r>
      <w:r/>
    </w:p>
    <w:p>
      <w:pPr>
        <w:pStyle w:val="ListNumber"/>
        <w:spacing w:line="240" w:lineRule="auto"/>
        <w:ind w:left="720"/>
      </w:pPr>
      <w:r/>
      <w:hyperlink r:id="rId12">
        <w:r>
          <w:rPr>
            <w:color w:val="0000EE"/>
            <w:u w:val="single"/>
          </w:rPr>
          <w:t>https://digitalcommons.unl.edu/sociologyfacpub/259/</w:t>
        </w:r>
      </w:hyperlink>
      <w:r>
        <w:t xml:space="preserve"> - This study explores how laws impact the experiences of parenthood for gay, lesbian, and bisexual (GLB) parents in California and Nebraska. Interviews with 51 GLB parents reveal that legal contexts significantly influence their parenting methods, residential choices, and family recognition. In Nebraska, less supportive laws compel parents to navigate a less accommodating system, whereas California's more protective environment allows for greater family security and recognition.</w:t>
      </w:r>
      <w:r/>
    </w:p>
    <w:p>
      <w:pPr>
        <w:pStyle w:val="ListNumber"/>
        <w:spacing w:line="240" w:lineRule="auto"/>
        <w:ind w:left="720"/>
      </w:pPr>
      <w:r/>
      <w:hyperlink r:id="rId11">
        <w:r>
          <w:rPr>
            <w:color w:val="0000EE"/>
            <w:u w:val="single"/>
          </w:rPr>
          <w:t>https://journals.sagepub.com/doi/abs/10.1177/15570851211003964</w:t>
        </w:r>
      </w:hyperlink>
      <w:r>
        <w:t xml:space="preserve"> - This research investigates how biases related to gender, race, ethnicity, and sexual orientation affect court responses to youth, particularly girls. Qualitative interviews with court staff reveal that juvenile practitioners' biases influence their responses to youth, with a focus on girls across intersectional identities. The study underscores the need for awareness and training to mitigate these biases within the juvenile justice system.</w:t>
      </w:r>
      <w:r/>
    </w:p>
    <w:p>
      <w:pPr>
        <w:pStyle w:val="ListNumber"/>
        <w:spacing w:line="240" w:lineRule="auto"/>
        <w:ind w:left="720"/>
      </w:pPr>
      <w:r/>
      <w:hyperlink r:id="rId15">
        <w:r>
          <w:rPr>
            <w:color w:val="0000EE"/>
            <w:u w:val="single"/>
          </w:rPr>
          <w:t>https://onlinelibrary.wiley.com/toc/17441617/2025/63/1</w:t>
        </w:r>
      </w:hyperlink>
      <w:r>
        <w:t xml:space="preserve"> - This article discusses best practices for family courts handling custody cases involving transgender and gender-expansive youth. It emphasizes the importance of family acceptance and affirmation of a child's gender identity, noting that such support is linked to improved emotional and behavioral outcomes. The authors advocate for interdisciplinary, child-centered approaches to ensure the well-being of transgender and gender-expansive youth in custody decisions.</w:t>
      </w:r>
      <w:r/>
    </w:p>
    <w:p>
      <w:pPr>
        <w:pStyle w:val="ListNumber"/>
        <w:spacing w:line="240" w:lineRule="auto"/>
        <w:ind w:left="720"/>
      </w:pPr>
      <w:r/>
      <w:hyperlink r:id="rId14">
        <w:r>
          <w:rPr>
            <w:color w:val="0000EE"/>
            <w:u w:val="single"/>
          </w:rPr>
          <w:t>https://williamsinstitute.law.ucla.edu/publications/lgbt-employment-discrimination-ne/</w:t>
        </w:r>
      </w:hyperlink>
      <w:r>
        <w:t xml:space="preserve"> - This report highlights the lack of employment non-discrimination protections based on sexual orientation and gender identity in Nebraska. It documents instances of discrimination against LGBT individuals and notes that while some local governments and private employers have adopted protections, coverage remains incomplete. The report suggests that extending these protections would not be costly and would benefit the state by reducing discrimination.</w:t>
      </w:r>
      <w:r/>
    </w:p>
    <w:p>
      <w:pPr>
        <w:pStyle w:val="ListNumber"/>
        <w:spacing w:line="240" w:lineRule="auto"/>
        <w:ind w:left="720"/>
      </w:pPr>
      <w:r/>
      <w:hyperlink r:id="rId13">
        <w:r>
          <w:rPr>
            <w:color w:val="0000EE"/>
            <w:u w:val="single"/>
          </w:rPr>
          <w:t>https://www.aclunebraska.org/issues/lgbt-rights/</w:t>
        </w:r>
      </w:hyperlink>
      <w:r>
        <w:t xml:space="preserve"> - The ACLU of Nebraska advocates for the rights of LGBTQ+ individuals, highlighting that less than 24% of Nebraska workers live in communities that protect them from workplace discrimination based on sexual orientation or gender identity. The organization aims for a Nebraska where LGBTQ+ people can live openly, with identities, relationships, and families respected, and where fair treatment in employment, education, housing, and healthcare is ensured.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cgilllawyers.com/mcgill-law-blog/lgbtq-family-law-identity" TargetMode="External"/><Relationship Id="rId10" Type="http://schemas.openxmlformats.org/officeDocument/2006/relationships/hyperlink" Target="https://repository.law.umich.edu/mlr/vol117/iss8/3/" TargetMode="External"/><Relationship Id="rId11" Type="http://schemas.openxmlformats.org/officeDocument/2006/relationships/hyperlink" Target="https://journals.sagepub.com/doi/abs/10.1177/15570851211003964" TargetMode="External"/><Relationship Id="rId12" Type="http://schemas.openxmlformats.org/officeDocument/2006/relationships/hyperlink" Target="https://digitalcommons.unl.edu/sociologyfacpub/259/" TargetMode="External"/><Relationship Id="rId13" Type="http://schemas.openxmlformats.org/officeDocument/2006/relationships/hyperlink" Target="https://www.aclunebraska.org/issues/lgbt-rights/" TargetMode="External"/><Relationship Id="rId14" Type="http://schemas.openxmlformats.org/officeDocument/2006/relationships/hyperlink" Target="https://williamsinstitute.law.ucla.edu/publications/lgbt-employment-discrimination-ne/" TargetMode="External"/><Relationship Id="rId15" Type="http://schemas.openxmlformats.org/officeDocument/2006/relationships/hyperlink" Target="https://onlinelibrary.wiley.com/toc/17441617/2025/6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