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2026 Healthcare Equality Index Takeaways for LGBTQ Patients and Providers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safer care are turning to new tools: the Human Rights Campaign’s 2026 Healthcare Equality Index gives a snapshot of which hospitals and clinics are trying to protect LGBTQ patients and staff, why access is getting harder, and what to watch for if you or your team need affirming care.</w:t>
      </w:r>
      <w:r/>
    </w:p>
    <w:p>
      <w:r/>
      <w:r>
        <w:t>Essential Takeaways</w:t>
      </w:r>
      <w:r/>
      <w:r/>
    </w:p>
    <w:p>
      <w:pPr>
        <w:pStyle w:val="ListBullet"/>
        <w:spacing w:line="240" w:lineRule="auto"/>
        <w:ind w:left="720"/>
      </w:pPr>
      <w:r/>
      <w:r>
        <w:rPr>
          <w:b/>
        </w:rPr>
        <w:t>Big-picture snapshot:</w:t>
      </w:r>
      <w:r>
        <w:t xml:space="preserve"> The HRC Foundation’s 2026 Healthcare Equality Index tracks LGBTQ-inclusive policies across hundreds of healthcare facilities, offering national benchmarking and trends.</w:t>
      </w:r>
      <w:r/>
    </w:p>
    <w:p>
      <w:pPr>
        <w:pStyle w:val="ListBullet"/>
        <w:spacing w:line="240" w:lineRule="auto"/>
        <w:ind w:left="720"/>
      </w:pPr>
      <w:r/>
      <w:r>
        <w:rPr>
          <w:b/>
        </w:rPr>
        <w:t>Access under pressure:</w:t>
      </w:r>
      <w:r>
        <w:t xml:space="preserve"> Political attacks and changing state and federal rules are complicating delivery of gender-affirming care and HIV services, with some providers pausing services.</w:t>
      </w:r>
      <w:r/>
    </w:p>
    <w:p>
      <w:pPr>
        <w:pStyle w:val="ListBullet"/>
        <w:spacing w:line="240" w:lineRule="auto"/>
        <w:ind w:left="720"/>
      </w:pPr>
      <w:r/>
      <w:r>
        <w:rPr>
          <w:b/>
        </w:rPr>
        <w:t>Participation matters:</w:t>
      </w:r>
      <w:r>
        <w:t xml:space="preserve"> Joining the HEI signals a facility is trying to adopt inclusive policies; most participants allow their scorecards to be listed in an online directory.</w:t>
      </w:r>
      <w:r/>
    </w:p>
    <w:p>
      <w:pPr>
        <w:pStyle w:val="ListBullet"/>
        <w:spacing w:line="240" w:lineRule="auto"/>
        <w:ind w:left="720"/>
      </w:pPr>
      <w:r/>
      <w:r>
        <w:rPr>
          <w:b/>
        </w:rPr>
        <w:t>Practical tool:</w:t>
      </w:r>
      <w:r>
        <w:t xml:space="preserve"> The HEI asks about more than 70 policies and practices, so its aggregate report and searchable directory give granular context even when individual institutions opt out of public listing.</w:t>
      </w:r>
      <w:r/>
    </w:p>
    <w:p>
      <w:pPr>
        <w:pStyle w:val="ListBullet"/>
        <w:spacing w:line="240" w:lineRule="auto"/>
        <w:ind w:left="720"/>
      </w:pPr>
      <w:r/>
      <w:r>
        <w:rPr>
          <w:b/>
        </w:rPr>
        <w:t>Emotional cue:</w:t>
      </w:r>
      <w:r>
        <w:t xml:space="preserve"> For patients and staff, the report feels both reassuring and worrying , it shows progress but underscores mounting legal and political headwinds.</w:t>
      </w:r>
      <w:r/>
      <w:r/>
    </w:p>
    <w:p>
      <w:pPr>
        <w:pStyle w:val="Heading2"/>
      </w:pPr>
      <w:r>
        <w:t>What the 2026 HEI actually measures , and why that matters</w:t>
      </w:r>
      <w:r/>
    </w:p>
    <w:p>
      <w:r/>
      <w:r>
        <w:t>The strongest fact to start with is simple: the HEI isn’t a popularity contest, it’s an audit of policies and practices that help LGBTQ people get respectful, safe care. The Human Rights Campaign Foundation asks about more than 70 items, from nondiscrimination policies to staff training, and scores facilities on how well they meet those standards. That breadth means the index captures everyday things , whether intake forms use inclusive language, whether staff get training , as well as headline issues like gender-affirming services.</w:t>
      </w:r>
      <w:r/>
    </w:p>
    <w:p>
      <w:r/>
      <w:r>
        <w:t>The context here is crucial. According to HRC materials, the index is designed to nudge health systems towards concrete changes rather than simply naming or shaming. For patients that translates to a useful shorthand: participation usually means the facility is making an effort, even if political pressure sometimes forces service changes.</w:t>
      </w:r>
      <w:r/>
    </w:p>
    <w:p>
      <w:r/>
      <w:r>
        <w:t>If you’re choosing where to seek care, look beyond a single label and dig into what the HEI scores actually cover. That’s the difference between a warm-sounding policy and the lived reality of inclusive practice.</w:t>
      </w:r>
      <w:r/>
    </w:p>
    <w:p>
      <w:pPr>
        <w:pStyle w:val="Heading2"/>
      </w:pPr>
      <w:r>
        <w:t>Why access to gender-affirming care is changing now</w:t>
      </w:r>
      <w:r/>
    </w:p>
    <w:p>
      <w:r/>
      <w:r>
        <w:t>Start with the headline: policy shifts at the state and federal level are reshaping what providers can offer. HRC’s related resources document bans and restrictions in multiple states, and the fall-out includes some major systems pausing services for youth. That creates a tangible emotional hit for families and young people who need continuity of care.</w:t>
      </w:r>
      <w:r/>
    </w:p>
    <w:p>
      <w:r/>
      <w:r>
        <w:t>Healthcare leaders say they’re caught between professional obligations and shifting legal risk. Kaiser Permanente and Stanford Medicine Children’s Health, for instance, have been noted in public reporting as having paused certain gender-affirming services while still appearing as high scorers in the HEI directory. That tension shows why patients need current, local information rather than relying on national reputation alone.</w:t>
      </w:r>
      <w:r/>
    </w:p>
    <w:p>
      <w:r/>
      <w:r>
        <w:t>Practical tip: if you or your child relies on gender-affirming care, check both a facility’s recent HEI scorecard and its current service notices, and ask clinicians directly about continuity plans.</w:t>
      </w:r>
      <w:r/>
    </w:p>
    <w:p>
      <w:pPr>
        <w:pStyle w:val="Heading2"/>
      </w:pPr>
      <w:r>
        <w:t>The directory , useful, even when facilities don’t show everything</w:t>
      </w:r>
      <w:r/>
    </w:p>
    <w:p>
      <w:r/>
      <w:r>
        <w:t>You might wonder how helpful an index can be if some hospitals choose not to display their full scorecards. HRC explains that the HEI provides aggregate national findings while offering a searchable online directory where most participants do list scores by criteria. That compromise aims to protect institutions operating under volatile political pressure while still supplying consumers and staff with actionable data.</w:t>
      </w:r>
      <w:r/>
    </w:p>
    <w:p>
      <w:r/>
      <w:r>
        <w:t>For everyday use, the directory lets you compare how facilities perform on specific items, like training, nondiscrimination protections, and patient services. It’s not a perfect substitute for walking into a clinic and feeling the culture, but it’s a practical first step , especially for people travelling between regions with different legal environments.</w:t>
      </w:r>
      <w:r/>
    </w:p>
    <w:p>
      <w:r/>
      <w:r>
        <w:t>Quick advice: bookmark the HRC directory and check it before appointments; combine it with reviews from local LGBTQ organisations for the most accurate picture.</w:t>
      </w:r>
      <w:r/>
    </w:p>
    <w:p>
      <w:pPr>
        <w:pStyle w:val="Heading2"/>
      </w:pPr>
      <w:r>
        <w:t>What clinicians and hospital managers are hearing on the ground</w:t>
      </w:r>
      <w:r/>
    </w:p>
    <w:p>
      <w:r/>
      <w:r>
        <w:t>Healthcare workers tell a familiar story: many want to provide evidence-based care but face disinformation campaigns and political pressure that change what’s feasible overnight. HRC leadership has emphasised that doctors generally want to take care of their patients, and that institutional participation in the HEI is one signal of commitment despite the headwinds.</w:t>
      </w:r>
      <w:r/>
    </w:p>
    <w:p>
      <w:r/>
      <w:r>
        <w:t>From an operational standpoint, adopting HEI best practices can protect both staff and patients , from clearer intake forms to formal nondiscrimination policies. For managers, the HEI is often framed as a roadmap: it shows where to prioritise training and how to make services more resilient amid shifting laws.</w:t>
      </w:r>
      <w:r/>
    </w:p>
    <w:p>
      <w:r/>
      <w:r>
        <w:t>If you work in healthcare, consider the HEI a how-to checklist as much as a benchmark. Small policy shifts , inclusive language, transparent referral networks , can make a big difference for vulnerable patients.</w:t>
      </w:r>
      <w:r/>
    </w:p>
    <w:p>
      <w:pPr>
        <w:pStyle w:val="Heading2"/>
      </w:pPr>
      <w:r>
        <w:t>Looking ahead: how to use the HEI in a volatile landscape</w:t>
      </w:r>
      <w:r/>
    </w:p>
    <w:p>
      <w:r/>
      <w:r>
        <w:t>The report and HRC’s directories are tools for a tricky moment. They won’t end political attacks overnight, but they give LGBTQ patients, families, and clinicians a shared language to ask questions, compare services, and demand accountability. The reality is mixed: the HEI shows progress in many places while documenting real setbacks elsewhere.</w:t>
      </w:r>
      <w:r/>
    </w:p>
    <w:p>
      <w:r/>
      <w:r>
        <w:t>For readers, the practical playbook is straightforward: use the HEI directory as a starting point, verify current services with your chosen provider, and lean on local advocacy groups for real-time updates and referrals. That combination keeps you informed, and gives clinicians a path to strengthen protections where they can.</w:t>
      </w:r>
      <w:r/>
    </w:p>
    <w:p>
      <w:r/>
      <w:r>
        <w:t>It's a small change that can make care feel safer and more reliable.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[6]</w:t>
        </w:r>
      </w:hyperlink>
      <w:r>
        <w:t xml:space="preserve">- Paragraph 2: </w:t>
      </w:r>
      <w:hyperlink r:id="rId10">
        <w:r>
          <w:rPr>
            <w:color w:val="0000EE"/>
            <w:u w:val="single"/>
          </w:rPr>
          <w:t>[2]</w:t>
        </w:r>
      </w:hyperlink>
      <w:r>
        <w:t xml:space="preserve">, </w:t>
      </w:r>
      <w:hyperlink r:id="rId10">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https://www.ebar.com/story/167313/</w:t>
        </w:r>
      </w:hyperlink>
      <w:r>
        <w:t xml:space="preserve"> - Please view link - unable to able to access data</w:t>
      </w:r>
      <w:r/>
    </w:p>
    <w:p>
      <w:pPr>
        <w:pStyle w:val="ListNumber"/>
        <w:spacing w:line="240" w:lineRule="auto"/>
        <w:ind w:left="720"/>
      </w:pPr>
      <w:r/>
      <w:hyperlink r:id="rId10">
        <w:r>
          <w:rPr>
            <w:color w:val="0000EE"/>
            <w:u w:val="single"/>
          </w:rPr>
          <w:t>https://www.hrc.org/resources/healthcare-equality-index</w:t>
        </w:r>
      </w:hyperlink>
      <w:r>
        <w:t xml:space="preserve"> - The Healthcare Equality Index (HEI) is a biennial report by the Human Rights Campaign Foundation that evaluates healthcare facilities' policies and practices related to the equity and inclusion of LGBTQ+ patients, visitors, and employees. The 2026 edition assesses nearly 2,300 healthcare facilities nationwide, with 741 actively participating in the survey. The report highlights the importance of LGBTQ+ inclusive policies and practices in healthcare settings, aiming to promote equitable and inclusive care for LGBTQ+ individuals and their families.</w:t>
      </w:r>
      <w:r/>
    </w:p>
    <w:p>
      <w:pPr>
        <w:pStyle w:val="ListNumber"/>
        <w:spacing w:line="240" w:lineRule="auto"/>
        <w:ind w:left="720"/>
      </w:pPr>
      <w:r/>
      <w:hyperlink r:id="rId12">
        <w:r>
          <w:rPr>
            <w:color w:val="0000EE"/>
            <w:u w:val="single"/>
          </w:rPr>
          <w:t>https://www.stanfordchildrens.org/en/services/gender</w:t>
        </w:r>
      </w:hyperlink>
      <w:r>
        <w:t xml:space="preserve"> - Stanford Medicine Children's Health offers a Pediatric and Adolescent Gender Clinic that provides medical services for gender nonconforming youths and their families. The clinic's multidisciplinary team includes providers from pediatric endocrinology, adolescent medicine, pediatric urology, and social services, all supporting each child's or adolescent's gender identity. Services encompass social, medical, and legal transitions, with additional support from adolescent gynecology, child and adolescent psychiatry, primary care, and fertility preservation providers.</w:t>
      </w:r>
      <w:r/>
    </w:p>
    <w:p>
      <w:pPr>
        <w:pStyle w:val="ListNumber"/>
        <w:spacing w:line="240" w:lineRule="auto"/>
        <w:ind w:left="720"/>
      </w:pPr>
      <w:r/>
      <w:hyperlink r:id="rId11">
        <w:r>
          <w:rPr>
            <w:color w:val="0000EE"/>
            <w:u w:val="single"/>
          </w:rPr>
          <w:t>https://www.axios.com/local/san-francisco/2025/07/24/kaiser-pauses-gender-affirming-care-youth</w:t>
        </w:r>
      </w:hyperlink>
      <w:r>
        <w:t xml:space="preserve"> - In July 2025, Kaiser Permanente announced it would halt gender-affirming surgeries for patients under 19, effective August 29, 2025. This decision followed increasing political pressure and actions from the Trump administration. While Kaiser had been a pioneer in establishing comprehensive transgender health clinics in the U.S., the hospital system joined other medical institutions, including Stanford and Children's Hospital Los Angeles, in stepping back from certain gender-affirming procedures for minors. Critics argue that yielding to government interference endangers essential, life-saving healthcare for transgender youth.</w:t>
      </w:r>
      <w:r/>
    </w:p>
    <w:p>
      <w:pPr>
        <w:pStyle w:val="ListNumber"/>
        <w:spacing w:line="240" w:lineRule="auto"/>
        <w:ind w:left="720"/>
      </w:pPr>
      <w:r/>
      <w:hyperlink r:id="rId13">
        <w:r>
          <w:rPr>
            <w:color w:val="0000EE"/>
            <w:u w:val="single"/>
          </w:rPr>
          <w:t>https://www.hrc.org/campaigns/corporate-equality-index</w:t>
        </w:r>
      </w:hyperlink>
      <w:r>
        <w:t xml:space="preserve"> - The Corporate Equality Index (CEI) is a benchmarking survey and report by the Human Rights Campaign Foundation that evaluates corporate policies and practices related to LGBTQ+ workplace inclusion. The 2026 edition provides a research-based snapshot of LGBTQ+ experiences in U.S. workplaces and serves as a national benchmark of corporate policies, practices, and benefits pertinent to LGBTQ+ employees. The CEI tracks more than two decades of sustained progress and illustrates how employers continue to strengthen their commitments to workplace equality.</w:t>
      </w:r>
      <w:r/>
    </w:p>
    <w:p>
      <w:pPr>
        <w:pStyle w:val="ListNumber"/>
        <w:spacing w:line="240" w:lineRule="auto"/>
        <w:ind w:left="720"/>
      </w:pPr>
      <w:r/>
      <w:hyperlink r:id="rId10">
        <w:r>
          <w:rPr>
            <w:color w:val="0000EE"/>
            <w:u w:val="single"/>
          </w:rPr>
          <w:t>https://www.hrc.org/resources/healthcare-equality-index</w:t>
        </w:r>
      </w:hyperlink>
      <w:r>
        <w:t xml:space="preserve"> - The Healthcare Equality Index (HEI) is a biennial report by the Human Rights Campaign Foundation that evaluates healthcare facilities' policies and practices related to the equity and inclusion of LGBTQ+ patients, visitors, and employees. The 2026 edition assesses nearly 2,300 healthcare facilities nationwide, with 741 actively participating in the survey. The report highlights the importance of LGBTQ+ inclusive policies and practices in healthcare settings, aiming to promote equitable and inclusive care for LGBTQ+ individuals and their families.</w:t>
      </w:r>
      <w:r/>
    </w:p>
    <w:p>
      <w:pPr>
        <w:pStyle w:val="ListNumber"/>
        <w:spacing w:line="240" w:lineRule="auto"/>
        <w:ind w:left="720"/>
      </w:pPr>
      <w:r/>
      <w:hyperlink r:id="rId12">
        <w:r>
          <w:rPr>
            <w:color w:val="0000EE"/>
            <w:u w:val="single"/>
          </w:rPr>
          <w:t>https://www.stanfordchildrens.org/en/services/gender</w:t>
        </w:r>
      </w:hyperlink>
      <w:r>
        <w:t xml:space="preserve"> - Stanford Medicine Children's Health offers a Pediatric and Adolescent Gender Clinic that provides medical services for gender nonconforming youths and their families. The clinic's multidisciplinary team includes providers from pediatric endocrinology, adolescent medicine, pediatric urology, and social services, all supporting each child's or adolescent's gender identity. Services encompass social, medical, and legal transitions, with additional support from adolescent gynecology, child and adolescent psychiatry, primary care, and fertility preservation providers.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313/" TargetMode="External"/><Relationship Id="rId10" Type="http://schemas.openxmlformats.org/officeDocument/2006/relationships/hyperlink" Target="https://www.hrc.org/resources/healthcare-equality-index" TargetMode="External"/><Relationship Id="rId11" Type="http://schemas.openxmlformats.org/officeDocument/2006/relationships/hyperlink" Target="https://www.axios.com/local/san-francisco/2025/07/24/kaiser-pauses-gender-affirming-care-youth" TargetMode="External"/><Relationship Id="rId12" Type="http://schemas.openxmlformats.org/officeDocument/2006/relationships/hyperlink" Target="https://www.stanfordchildrens.org/en/services/gender" TargetMode="External"/><Relationship Id="rId13" Type="http://schemas.openxmlformats.org/officeDocument/2006/relationships/hyperlink" Target="https://www.hrc.org/campaigns/corporate-equality-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