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Queer Immigrants Facing White Christian Nationalism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advocacy and community-led action as queer immigrants face rising threats from white Christian nationalist rhetoric in the United States; this piece looks at who’s affected, why it matters, and practical steps allies can take to offer real, sustained support.</w:t>
      </w:r>
      <w:r/>
    </w:p>
    <w:p>
      <w:r/>
      <w:r>
        <w:t>Essential Takeaways</w:t>
      </w:r>
      <w:r/>
      <w:r/>
    </w:p>
    <w:p>
      <w:pPr>
        <w:pStyle w:val="ListBullet"/>
        <w:spacing w:line="240" w:lineRule="auto"/>
        <w:ind w:left="720"/>
      </w:pPr>
      <w:r/>
      <w:r>
        <w:rPr>
          <w:b/>
        </w:rPr>
        <w:t>Legal risk:</w:t>
      </w:r>
      <w:r>
        <w:t xml:space="preserve"> Queer immigrants often flee countries where same-sex relations are criminalised, and they remain vulnerable under US immigration systems. </w:t>
      </w:r>
      <w:r/>
    </w:p>
    <w:p>
      <w:pPr>
        <w:pStyle w:val="ListBullet"/>
        <w:spacing w:line="240" w:lineRule="auto"/>
        <w:ind w:left="720"/>
      </w:pPr>
      <w:r/>
      <w:r>
        <w:rPr>
          <w:b/>
        </w:rPr>
        <w:t>Religious weaponisation:</w:t>
      </w:r>
      <w:r>
        <w:t xml:space="preserve"> White Christian nationalism is increasingly used to justify exclusionary policies and rhetoric that harm LGBTQ+ people and immigrants. </w:t>
      </w:r>
      <w:r/>
    </w:p>
    <w:p>
      <w:pPr>
        <w:pStyle w:val="ListBullet"/>
        <w:spacing w:line="240" w:lineRule="auto"/>
        <w:ind w:left="720"/>
      </w:pPr>
      <w:r/>
      <w:r>
        <w:rPr>
          <w:b/>
        </w:rPr>
        <w:t>Intersectional harm:</w:t>
      </w:r>
      <w:r>
        <w:t xml:space="preserve"> Queer people of colour face double marginalisation, from xenophobia and homophobia, affecting jobs, relationships, and mental health. </w:t>
      </w:r>
      <w:r/>
    </w:p>
    <w:p>
      <w:pPr>
        <w:pStyle w:val="ListBullet"/>
        <w:spacing w:line="240" w:lineRule="auto"/>
        <w:ind w:left="720"/>
      </w:pPr>
      <w:r/>
      <w:r>
        <w:rPr>
          <w:b/>
        </w:rPr>
        <w:t>What helps:</w:t>
      </w:r>
      <w:r>
        <w:t xml:space="preserve"> Practical support includes legal aid, housing, mental-health services, and backing grassroots organisations that centre trans and immigrant voices. </w:t>
      </w:r>
      <w:r/>
    </w:p>
    <w:p>
      <w:pPr>
        <w:pStyle w:val="ListBullet"/>
        <w:spacing w:line="240" w:lineRule="auto"/>
        <w:ind w:left="720"/>
      </w:pPr>
      <w:r/>
      <w:r>
        <w:rPr>
          <w:b/>
        </w:rPr>
        <w:t>Look for nuance:</w:t>
      </w:r>
      <w:r>
        <w:t xml:space="preserve"> Effective allyship means prioritising the most marginalised, trans people of colour and asylum seekers, over symbolic gestures.</w:t>
      </w:r>
      <w:r/>
      <w:r/>
    </w:p>
    <w:p>
      <w:pPr>
        <w:pStyle w:val="Heading2"/>
      </w:pPr>
      <w:r>
        <w:t>Why queer immigrants still flee places like Bangladesh</w:t>
      </w:r>
      <w:r/>
    </w:p>
    <w:p>
      <w:r/>
      <w:r>
        <w:t>Many queer people leave countries where same-sex behaviour is criminalised because daily life can be dangerous, lonely and degrading. You can feel that pressure in the way families weaponise religion, or in laws that date back to colonial eras.</w:t>
      </w:r>
      <w:r/>
    </w:p>
    <w:p>
      <w:r/>
      <w:r>
        <w:t>Official guidance and human-rights reporting make it clear why people seek asylum: legal penalties, social stigma and targeted violence push people to move. When you hear about someone arriving here, remember they probably left under threat, not because they wanted to start afresh on a whim.</w:t>
      </w:r>
      <w:r/>
    </w:p>
    <w:p>
      <w:r/>
      <w:r>
        <w:t>Practical tip: When supporting asylum seekers, back organisations that understand the legal specifics of LGBT+ claims and the cultural context they’re fleeing.</w:t>
      </w:r>
      <w:r/>
    </w:p>
    <w:p>
      <w:pPr>
        <w:pStyle w:val="Heading2"/>
      </w:pPr>
      <w:r>
        <w:t>How white Christian nationalism shapes US policy and public life</w:t>
      </w:r>
      <w:r/>
    </w:p>
    <w:p>
      <w:r/>
      <w:r>
        <w:t>White Christian nationalism mixes religious rhetoric with a vision of who “belongs” in America, and that vision often excludes queer people and immigrants. You can see this expressed in policy fights, official rhetoric and in institutions signalling whose values they prioritise.</w:t>
      </w:r>
      <w:r/>
    </w:p>
    <w:p>
      <w:r/>
      <w:r>
        <w:t>Recent court decisions and political actions show religious liberty arguments being used to justify practices that harm LGBTQ+ people. That’s not abstract; it changes who gets safe detention conditions, medical care, or even the simple dignity of being recognised.</w:t>
      </w:r>
      <w:r/>
    </w:p>
    <w:p>
      <w:r/>
      <w:r>
        <w:t>Practical tip: Tracking local and national policy changes is useful; contact your MPs and local councils to demand accountability when faith-based arguments are used to restrict rights.</w:t>
      </w:r>
      <w:r/>
    </w:p>
    <w:p>
      <w:pPr>
        <w:pStyle w:val="Heading2"/>
      </w:pPr>
      <w:r>
        <w:t>The double marginalisation of being queer and brown</w:t>
      </w:r>
      <w:r/>
    </w:p>
    <w:p>
      <w:r/>
      <w:r>
        <w:t>Being queer in the US is not the same experience for everyone. A gay man who left Bangladesh may have the outward markers of “success” yet carry long-term trauma, experience employment discrimination over a name, or face suspicion from potential partners. Immigrant communities themselves can be conservative, and that creates additional barriers to belonging.</w:t>
      </w:r>
      <w:r/>
    </w:p>
    <w:p>
      <w:r/>
      <w:r>
        <w:t>This double bind is why surface-level allyship rings hollow for many. Policies like marriage protections help some, but they rarely address the needs of trans people, people of colour, or those without stable immigration status.</w:t>
      </w:r>
      <w:r/>
    </w:p>
    <w:p>
      <w:r/>
      <w:r>
        <w:t>Practical tip: Don’t centre the loudest or most visible queer voices by default; amplify grassroots groups led by queer immigrants and trans people of colour.</w:t>
      </w:r>
      <w:r/>
    </w:p>
    <w:p>
      <w:pPr>
        <w:pStyle w:val="Heading2"/>
      </w:pPr>
      <w:r>
        <w:t>What meaningful support actually looks like</w:t>
      </w:r>
      <w:r/>
    </w:p>
    <w:p>
      <w:r/>
      <w:r>
        <w:t>You’ll see a lot of performative gestures during Pride Month, but the kind of help that matters is concrete and ongoing. Think legal representation for asylum claims, emergency housing, culturally competent mental-health care, and funds for bail or medical costs.</w:t>
      </w:r>
      <w:r/>
    </w:p>
    <w:p>
      <w:r/>
      <w:r>
        <w:t>Faith-based charities can be helpful in some cases, but it’s worth checking whether services are unconditional. Support groups that explicitly separate aid from proselytising tend to be safest for vulnerable people who’ve experienced religious coercion.</w:t>
      </w:r>
      <w:r/>
    </w:p>
    <w:p>
      <w:r/>
      <w:r>
        <w:t>Practical tip: Donate to or volunteer with organisations focused on legal defence, mental-health services, and housing for queer immigrants, and ask how funds are used before giving.</w:t>
      </w:r>
      <w:r/>
    </w:p>
    <w:p>
      <w:pPr>
        <w:pStyle w:val="Heading2"/>
      </w:pPr>
      <w:r>
        <w:t>How allies and policymakers can do better</w:t>
      </w:r>
      <w:r/>
    </w:p>
    <w:p>
      <w:r/>
      <w:r>
        <w:t>Allies should listen more than they speak, and build relationships with activists on the ground. That means funding leadership from the most impacted, demanding humane immigration practices, and pushing back against policies that use religious freedom as a sword against minority communities.</w:t>
      </w:r>
      <w:r/>
    </w:p>
    <w:p>
      <w:r/>
      <w:r>
        <w:t>Policymakers can start by ensuring detention centres meet basic safety and medical standards, by protecting trans and non-binary service members’ rights, and by rejecting rhetoric that ties patriotism to a single religion or race.</w:t>
      </w:r>
      <w:r/>
    </w:p>
    <w:p>
      <w:r/>
      <w:r>
        <w:t>Practical tip: Write to MPs asking them to support immigrant rights and trans healthcare, volunteer with legal clinics, and consider long-term commitments, monthly donations, mentorship or board service, rather than one-off gifts.</w:t>
      </w:r>
      <w:r/>
    </w:p>
    <w:p>
      <w:r/>
      <w:r>
        <w:t>It's a small change that can make every asylum seeker, trans person and queer immigrant feel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https://progressive.org/magazine/being-a-queer-immigrant-in-a-time-of-white-christian-nationalism-sanzum-20260615/</w:t>
        </w:r>
      </w:hyperlink>
      <w:r>
        <w:t xml:space="preserve"> - Please view link - unable to able to access data</w:t>
      </w:r>
      <w:r/>
    </w:p>
    <w:p>
      <w:pPr>
        <w:pStyle w:val="ListNumber"/>
        <w:spacing w:line="240" w:lineRule="auto"/>
        <w:ind w:left="720"/>
      </w:pPr>
      <w:r/>
      <w:hyperlink r:id="rId10">
        <w:r>
          <w:rPr>
            <w:color w:val="0000EE"/>
            <w:u w:val="single"/>
          </w:rPr>
          <w:t>https://en.wikipedia.org/wiki/LGBTQ_rights_in_Bangladesh</w:t>
        </w:r>
      </w:hyperlink>
      <w:r>
        <w:t xml:space="preserve"> - This article provides an overview of the legal and social status of LGBTQ+ individuals in Bangladesh. It details the criminalisation of same-sex sexual activity under Section 377 of the Penal Code, a law inherited from British colonial rule. The article also discusses societal attitudes, noting that while the law is rarely enforced, it is used to arrest, harass, and extort individuals based on their sexual orientation, contributing to a climate of fear and repression for LGBTQ+ people. Additionally, it mentions the legal recognition of hijras as a third gender in 2014.</w:t>
      </w:r>
      <w:r/>
    </w:p>
    <w:p>
      <w:pPr>
        <w:pStyle w:val="ListNumber"/>
        <w:spacing w:line="240" w:lineRule="auto"/>
        <w:ind w:left="720"/>
      </w:pPr>
      <w:r/>
      <w:hyperlink r:id="rId11">
        <w:r>
          <w:rPr>
            <w:color w:val="0000EE"/>
            <w:u w:val="single"/>
          </w:rPr>
          <w:t>https://www.gov.uk/government/publications/bangladesh-country-policy-and-information-notes/country-policy-and-information-note-sexual-orientation-and-gender-identity-bangladesh-september-2023-accessible</w:t>
        </w:r>
      </w:hyperlink>
      <w:r>
        <w:t xml:space="preserve"> - This UK government report offers a comprehensive analysis of the situation for LGBTQ+ individuals in Bangladesh. It highlights that same-sex sexual activity between men is criminalised under Section 377 of the Bangladesh Penal Code, punishable by imprisonment. The report notes that while the law is rarely enforced, it is used to arrest, harass, and extort individuals based on their sexual orientation, creating a climate of fear and repression for LGBTQ+ people. It also discusses societal attitudes, stating that LGBTQ+ individuals are unlikely to face a real risk of persecution or serious harm from the state, but societal attitudes are conservative, leading to discrimination and social exclusion.</w:t>
      </w:r>
      <w:r/>
    </w:p>
    <w:p>
      <w:pPr>
        <w:pStyle w:val="ListNumber"/>
        <w:spacing w:line="240" w:lineRule="auto"/>
        <w:ind w:left="720"/>
      </w:pPr>
      <w:r/>
      <w:hyperlink r:id="rId12">
        <w:r>
          <w:rPr>
            <w:color w:val="0000EE"/>
            <w:u w:val="single"/>
          </w:rPr>
          <w:t>https://smsaif.me/lgbtq-rights-in-bangladesh/</w:t>
        </w:r>
      </w:hyperlink>
      <w:r>
        <w:t xml:space="preserve"> - This article discusses the risks associated with speaking publicly about LGBTQ+ rights in Bangladesh. It explains that Section 377 of the Penal Code criminalises 'unnatural sexual acts,' primarily used against homosexuals, and is considered discriminatory. The article highlights that those who attempt to raise awareness about LGBTQ+ rights face legal risks and social backlash, including potential persecution from the state, religious groups, and society at large.</w:t>
      </w:r>
      <w:r/>
    </w:p>
    <w:p>
      <w:pPr>
        <w:pStyle w:val="ListNumber"/>
        <w:spacing w:line="240" w:lineRule="auto"/>
        <w:ind w:left="720"/>
      </w:pPr>
      <w:r/>
      <w:hyperlink r:id="rId13">
        <w:r>
          <w:rPr>
            <w:color w:val="0000EE"/>
            <w:u w:val="single"/>
          </w:rPr>
          <w:t>https://www.ghrd.org/wp-content/uploads/2026/01/LGBTQ-Rights-in-Bangladesh.pdf</w:t>
        </w:r>
      </w:hyperlink>
      <w:r>
        <w:t xml:space="preserve"> - This report examines the legal framework and human rights situation for LGBTQ+ individuals in Bangladesh. It details how Section 377 of the 1860 Penal Code criminalises same-sex sexual activities, with penalties ranging from ten years to life imprisonment. The report notes that while the law is rarely enforced, it is used as a pretext to harass and intimidate LGBTQ+ people and organisations. It also discusses the lack of comprehensive protection for LGBTQ+ rights in the country.</w:t>
      </w:r>
      <w:r/>
    </w:p>
    <w:p>
      <w:pPr>
        <w:pStyle w:val="ListNumber"/>
        <w:spacing w:line="240" w:lineRule="auto"/>
        <w:ind w:left="720"/>
      </w:pPr>
      <w:r/>
      <w:hyperlink r:id="rId14">
        <w:r>
          <w:rPr>
            <w:color w:val="0000EE"/>
            <w:u w:val="single"/>
          </w:rPr>
          <w:t>https://www.lawyersnjurists.com/article/lgbti-rtesources-bangladesh/</w:t>
        </w:r>
      </w:hyperlink>
      <w:r>
        <w:t xml:space="preserve"> - This article provides legal information on LGBTQ+ rights in Bangladesh, focusing on Section 377 of the Penal Code, which criminalises 'carnal intercourse against the order of nature' with penalties ranging from ten years to life imprisonment. It also discusses the constitutional context, noting that while the official religion is Islam, other religions are tolerated, and Shariah Law is not applied. However, homosexuality is still viewed from an Islamic perspective, affecting societal attitudes towards LGBTQ+ individuals.</w:t>
      </w:r>
      <w:r/>
    </w:p>
    <w:p>
      <w:pPr>
        <w:pStyle w:val="ListNumber"/>
        <w:spacing w:line="240" w:lineRule="auto"/>
        <w:ind w:left="720"/>
      </w:pPr>
      <w:r/>
      <w:hyperlink r:id="rId15">
        <w:r>
          <w:rPr>
            <w:color w:val="0000EE"/>
            <w:u w:val="single"/>
          </w:rPr>
          <w:t>https://en.wikipedia.org/wiki/Human_rights_in_Bangladesh</w:t>
        </w:r>
      </w:hyperlink>
      <w:r>
        <w:t xml:space="preserve"> - This article provides an overview of human rights in Bangladesh, including the status of LGBTQ+ rights. It mentions that in 2014, the Bangladeshi government officially recognised hijras as a third gender. The article also notes that Section 377 of the Penal Code, a British Raj-era law, remains in force, criminalising homosexuality. It further mentions that in 2016, terrorist groups claimed responsibility for the murder of Bangladesh's first LGBTQ+ magazine editor, Xulhaz Mannan, and his partner Tanay Majumdar.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gressive.org/magazine/being-a-queer-immigrant-in-a-time-of-white-christian-nationalism-sanzum-20260615/" TargetMode="External"/><Relationship Id="rId10" Type="http://schemas.openxmlformats.org/officeDocument/2006/relationships/hyperlink" Target="https://en.wikipedia.org/wiki/LGBTQ_rights_in_Bangladesh" TargetMode="External"/><Relationship Id="rId11" Type="http://schemas.openxmlformats.org/officeDocument/2006/relationships/hyperlink" Target="https://www.gov.uk/government/publications/bangladesh-country-policy-and-information-notes/country-policy-and-information-note-sexual-orientation-and-gender-identity-bangladesh-september-2023-accessible" TargetMode="External"/><Relationship Id="rId12" Type="http://schemas.openxmlformats.org/officeDocument/2006/relationships/hyperlink" Target="https://smsaif.me/lgbtq-rights-in-bangladesh/" TargetMode="External"/><Relationship Id="rId13" Type="http://schemas.openxmlformats.org/officeDocument/2006/relationships/hyperlink" Target="https://www.ghrd.org/wp-content/uploads/2026/01/LGBTQ-Rights-in-Bangladesh.pdf" TargetMode="External"/><Relationship Id="rId14" Type="http://schemas.openxmlformats.org/officeDocument/2006/relationships/hyperlink" Target="https://www.lawyersnjurists.com/article/lgbti-rtesources-bangladesh/" TargetMode="External"/><Relationship Id="rId15" Type="http://schemas.openxmlformats.org/officeDocument/2006/relationships/hyperlink" Target="https://en.wikipedia.org/wiki/Human_rights_in_Banglade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