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Practices for Supporting LGB Workers in Non-Western Industries: Lessons from Türkiye’s Automotive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workplace policy are waking up to a harsh truth: inclusion on paper doesn't guarantee safety in practice. Researchers studying LGB employees in Türkiye’s automotive industry reveal how state-backed conservatism and industrial machismo turn coming out into constant risk management , and what employers can realistically do about it.</w:t>
      </w:r>
      <w:r/>
    </w:p>
    <w:p>
      <w:r/>
      <w:r>
        <w:t>Essential Takeaways</w:t>
      </w:r>
      <w:r/>
      <w:r/>
    </w:p>
    <w:p>
      <w:pPr>
        <w:pStyle w:val="ListBullet"/>
        <w:spacing w:line="240" w:lineRule="auto"/>
        <w:ind w:left="720"/>
      </w:pPr>
      <w:r/>
      <w:r>
        <w:rPr>
          <w:b/>
        </w:rPr>
        <w:t>Core finding:</w:t>
      </w:r>
      <w:r>
        <w:t xml:space="preserve"> Coming out in this context is a strategic, ongoing process rather than a one-off act, driven by environmental readiness and chronic hyper-vigilance. </w:t>
      </w:r>
      <w:r/>
    </w:p>
    <w:p>
      <w:pPr>
        <w:pStyle w:val="ListBullet"/>
        <w:spacing w:line="240" w:lineRule="auto"/>
        <w:ind w:left="720"/>
      </w:pPr>
      <w:r/>
      <w:r>
        <w:rPr>
          <w:b/>
        </w:rPr>
        <w:t>Glass closet effect:</w:t>
      </w:r>
      <w:r>
        <w:t xml:space="preserve"> Seniority can increase pressure to conceal identity, as managers are expected to perform the “exemplary family man” role. </w:t>
      </w:r>
      <w:r/>
    </w:p>
    <w:p>
      <w:pPr>
        <w:pStyle w:val="ListBullet"/>
        <w:spacing w:line="240" w:lineRule="auto"/>
        <w:ind w:left="720"/>
      </w:pPr>
      <w:r/>
      <w:r>
        <w:rPr>
          <w:b/>
        </w:rPr>
        <w:t>Emotional cost:</w:t>
      </w:r>
      <w:r>
        <w:t xml:space="preserve"> Maintaining a desexualised or heterosexual mask consumes cognitive resources, undermining performance and wellbeing. </w:t>
      </w:r>
      <w:r/>
    </w:p>
    <w:p>
      <w:pPr>
        <w:pStyle w:val="ListBullet"/>
        <w:spacing w:line="240" w:lineRule="auto"/>
        <w:ind w:left="720"/>
      </w:pPr>
      <w:r/>
      <w:r>
        <w:rPr>
          <w:b/>
        </w:rPr>
        <w:t>Micro-solidarity matters:</w:t>
      </w:r>
      <w:r>
        <w:t xml:space="preserve"> Informal alliances, especially between LGB staff and female colleagues, create vital psychological refuges. </w:t>
      </w:r>
      <w:r/>
    </w:p>
    <w:p>
      <w:pPr>
        <w:pStyle w:val="ListBullet"/>
        <w:spacing w:line="240" w:lineRule="auto"/>
        <w:ind w:left="720"/>
      </w:pPr>
      <w:r/>
      <w:r>
        <w:rPr>
          <w:b/>
        </w:rPr>
        <w:t>Policy gap:</w:t>
      </w:r>
      <w:r>
        <w:t xml:space="preserve"> Multinational D&amp;I policies often remain symbolic locally; legal reform and leadership training are essential to close the implementation gap.</w:t>
      </w:r>
      <w:r/>
      <w:r/>
    </w:p>
    <w:p>
      <w:pPr>
        <w:pStyle w:val="Heading2"/>
      </w:pPr>
      <w:r>
        <w:t>Why coming out looks different outside Western settings</w:t>
      </w:r>
      <w:r/>
    </w:p>
    <w:p>
      <w:r/>
      <w:r>
        <w:t>The most striking thing about the Turkish case is how it reframes coming out as continual strategic calculation, not a moment of liberation, and the study describes a physical sense of weariness , that quiet fatigue of constantly monitoring speech and gesture. According to the authors, this reflexive interpretation treats interview accounts as products of impression management and survival tactics, not simple self-reports. That matters because it forces us to read workplace silence and self-censorship as adaptive, political practices shaped by patriarchy and state discourse, rather than private coping alone. For employers, the practical takeaway is obvious: you can't assume disclosure follows seniority or good intent.</w:t>
      </w:r>
      <w:r/>
    </w:p>
    <w:p>
      <w:pPr>
        <w:pStyle w:val="Heading2"/>
      </w:pPr>
      <w:r>
        <w:t>The “glass closet” , promotion that tightens the lid</w:t>
      </w:r>
      <w:r/>
    </w:p>
    <w:p>
      <w:r/>
      <w:r>
        <w:t>The paper turns a common assumption on its head: higher rank in Türkiye's automotive firms often increases pressure to conform. In sectors close to state interests, managers are expected to embody traditional family norms and a tough, masculine silhouette. So instead of seniority granting safety, it installs a more visible role to police. This helps explain why anti-discrimination statements at corporate HQs frequently fail to change day-to-day practice on the shop floor. Organisations must recognise that career ladders can become structural barriers to visibility and design specific protections for promoted staff.</w:t>
      </w:r>
      <w:r/>
    </w:p>
    <w:p>
      <w:pPr>
        <w:pStyle w:val="Heading2"/>
      </w:pPr>
      <w:r>
        <w:t>How everyday solidarity quietly erodes exclusion</w:t>
      </w:r>
      <w:r/>
    </w:p>
    <w:p>
      <w:r/>
      <w:r>
        <w:t>Where formal protections are thin or performative, workers improvise. The study documents “subaltern counterpublics” , informal networks where LGB employees and many female colleagues offer discreet support. These micro-solidarities act as psychological lifelines, enabling casual disclosures and small acts of care that chip away at institutional silence. It's a reminder that bottom-up culture change often begins with tiny social acts, not headline policies. Employers should resource these networks indirectly, for instance by creating safe, confidential channels and recognising allyship in performance frameworks.</w:t>
      </w:r>
      <w:r/>
    </w:p>
    <w:p>
      <w:pPr>
        <w:pStyle w:val="Heading2"/>
      </w:pPr>
      <w:r>
        <w:t>The mental and somatic toll of perpetual concealment</w:t>
      </w:r>
      <w:r/>
    </w:p>
    <w:p>
      <w:r/>
      <w:r>
        <w:t>Participants describe chronic hyper-vigilance that drains attention and emotional energy, echoing Minority Stress Theory and emotional labour frameworks. That strain isn't only personal; it affects productivity and safety in technically demanding roles. Employers who ignore this are missing a performance issue as much as a moral one. Simple interventions , confidential counselling, workload adjustments, and clear non-retaliation pledges , can reduce cognitive load and signal genuine commitment.</w:t>
      </w:r>
      <w:r/>
    </w:p>
    <w:p>
      <w:pPr>
        <w:pStyle w:val="Heading2"/>
      </w:pPr>
      <w:r>
        <w:t>What actually works: practical steps for companies and policymakers</w:t>
      </w:r>
      <w:r/>
    </w:p>
    <w:p>
      <w:r/>
      <w:r>
        <w:t>The research proposes a dual-track response: organisational practice plus legal reform. At firm level, recommendations include enforcing global D&amp;I protocols at local operations, training managers in relational competence to break managerial silence, and auditing language in internal communications to avoid “man's job” archetypes. At national level, explicit inclusion of sexual orientation and gender identity in labour law and adjustments to military service documentation would remove structural triggers for forced disclosure. Public-sector leadership could also set a benchmark by eliminating morality-based dismissal clauses. These are practical, targeted moves that address the policy–practice gap highlighted by the study.</w:t>
      </w:r>
      <w:r/>
    </w:p>
    <w:p>
      <w:r/>
      <w:r>
        <w:t>It's a small change that can make every workplace safer: move beyond policy statements and invest in the everyday structures that make disclosure genuinely optional, not strategically dangerous.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https://www.mdpi.com/2076-0760/15/6/389</w:t>
        </w:r>
      </w:hyperlink>
      <w:r>
        <w:t xml:space="preserve"> - Please view link - unable to able to access data</w:t>
      </w:r>
      <w:r/>
    </w:p>
    <w:p>
      <w:pPr>
        <w:pStyle w:val="ListNumber"/>
        <w:spacing w:line="240" w:lineRule="auto"/>
        <w:ind w:left="720"/>
      </w:pPr>
      <w:r/>
      <w:hyperlink r:id="rId10">
        <w:r>
          <w:rPr>
            <w:color w:val="0000EE"/>
            <w:u w:val="single"/>
          </w:rPr>
          <w:t>https://journals.aom.org/doi/10.5465/amr.2003.8925191</w:t>
        </w:r>
      </w:hyperlink>
      <w:r>
        <w:t xml:space="preserve"> - In this article, Mats Alvesson critiques prevailing neopositivist and romantic perspectives on research interviews, proposing a reflexive approach that acknowledges the complexities of language, subjectivity, and discourse. He introduces eight metaphors to reconceptualize interviews, aiming to provide new methodologies for fieldwork interactions, interpretations of empirical material, and the formulation of research questions. This framework encourages researchers to view interviews as dynamic, multifaceted processes rather than straightforward data collection tools.</w:t>
      </w:r>
      <w:r/>
    </w:p>
    <w:p>
      <w:pPr>
        <w:pStyle w:val="ListNumber"/>
        <w:spacing w:line="240" w:lineRule="auto"/>
        <w:ind w:left="720"/>
      </w:pPr>
      <w:r/>
      <w:hyperlink r:id="rId11">
        <w:r>
          <w:rPr>
            <w:color w:val="0000EE"/>
            <w:u w:val="single"/>
          </w:rPr>
          <w:t>https://www.researchgate.net/publication/43508382_Beyond_Neopositivists_Romantics_and_Localists_A_Reflexive_Approach_to_Interviews_in_Organizational_Research</w:t>
        </w:r>
      </w:hyperlink>
      <w:r>
        <w:t xml:space="preserve"> - Mats Alvesson's work offers a critical examination of traditional research interview methodologies, advocating for a reflexive approach that considers the intricate interplay of language, subjectivity, and discourse. By introducing eight metaphors, Alvesson provides a framework for researchers to reconceptualize interviews, emphasizing the importance of understanding interviews as complex, multifaceted interactions rather than simple data collection processes.</w:t>
      </w:r>
      <w:r/>
    </w:p>
    <w:p>
      <w:pPr>
        <w:pStyle w:val="ListNumber"/>
        <w:spacing w:line="240" w:lineRule="auto"/>
        <w:ind w:left="720"/>
      </w:pPr>
      <w:r/>
      <w:hyperlink r:id="rId12">
        <w:r>
          <w:rPr>
            <w:color w:val="0000EE"/>
            <w:u w:val="single"/>
          </w:rPr>
          <w:t>https://onlinelibrary.wiley.com/doi/abs/10.1111/j.1467-6486.2007.00765.x</w:t>
        </w:r>
      </w:hyperlink>
      <w:r>
        <w:t xml:space="preserve"> - In this paper, Alvesson, Hardy, and Harley identify four sets of textual practices—multi-perspective, multi-voicing, positioning, and destabilizing—that researchers in organization and management theory have employed to achieve reflexivity. They discuss how each practice contributes to reflexive research while also highlighting inherent limitations and paradoxes. The authors suggest that understanding the interplay among these practices can lead to new avenues for reflexive practice in organizational research.</w:t>
      </w:r>
      <w:r/>
    </w:p>
    <w:p>
      <w:pPr>
        <w:pStyle w:val="ListNumber"/>
        <w:spacing w:line="240" w:lineRule="auto"/>
        <w:ind w:left="720"/>
      </w:pPr>
      <w:r/>
      <w:hyperlink r:id="rId13">
        <w:r>
          <w:rPr>
            <w:color w:val="0000EE"/>
            <w:u w:val="single"/>
          </w:rPr>
          <w:t>https://journals.sagepub.com/doi/abs/10.1177/00187267035612001</w:t>
        </w:r>
      </w:hyperlink>
      <w:r>
        <w:t xml:space="preserve"> - Alvesson and Sveningsson explore the concept of leadership within a large, international knowledge-intensive company, emphasizing the significance of everyday managerial actions such as listening and informal conversations. They argue that leadership is not solely about grand gestures but is often about the 'extra-ordinarization of the mundane,' where ordinary activities are imbued with special emotional value due to their association with managerial roles.</w:t>
      </w:r>
      <w:r/>
    </w:p>
    <w:p>
      <w:pPr>
        <w:pStyle w:val="ListNumber"/>
        <w:spacing w:line="240" w:lineRule="auto"/>
        <w:ind w:left="720"/>
      </w:pPr>
      <w:r/>
      <w:hyperlink r:id="rId14">
        <w:r>
          <w:rPr>
            <w:color w:val="0000EE"/>
            <w:u w:val="single"/>
          </w:rPr>
          <w:t>https://journals.sagepub.com/doi/pdf/10.1177/0170840603024006007</w:t>
        </w:r>
      </w:hyperlink>
      <w:r>
        <w:t xml:space="preserve"> - Alvesson and Sveningsson investigate how managers perceive and position themselves in terms of leadership within a knowledge-intensive organization. They highlight the importance of contemporary leadership discourse and the central role of ambiguity in organizational settings. The study reveals that managers often navigate between different leadership positions, reflecting the complex and multifaceted nature of leadership in such environments.</w:t>
      </w:r>
      <w:r/>
    </w:p>
    <w:p>
      <w:pPr>
        <w:pStyle w:val="ListNumber"/>
        <w:spacing w:line="240" w:lineRule="auto"/>
        <w:ind w:left="720"/>
      </w:pPr>
      <w:r/>
      <w:hyperlink r:id="rId15">
        <w:r>
          <w:rPr>
            <w:color w:val="0000EE"/>
            <w:u w:val="single"/>
          </w:rPr>
          <w:t>https://journals.sagepub.com/doi/10.1177/0170840603024006007</w:t>
        </w:r>
      </w:hyperlink>
      <w:r>
        <w:t xml:space="preserve"> - Alvesson and Sveningsson examine the contradictions inherent in leadership within a knowledge-intensive organization. They discuss how managers oscillate between different leadership positions—good, bad, and ugly—highlighting the complexities and ambiguities of leadership roles. The study underscores the need for a nuanced understanding of leadership that goes beyond traditional categorizations, considering the diverse and often contradictory aspects of managerial 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dpi.com/2076-0760/15/6/389" TargetMode="External"/><Relationship Id="rId10" Type="http://schemas.openxmlformats.org/officeDocument/2006/relationships/hyperlink" Target="https://journals.aom.org/doi/10.5465/amr.2003.8925191" TargetMode="External"/><Relationship Id="rId11" Type="http://schemas.openxmlformats.org/officeDocument/2006/relationships/hyperlink" Target="https://www.researchgate.net/publication/43508382_Beyond_Neopositivists_Romantics_and_Localists_A_Reflexive_Approach_to_Interviews_in_Organizational_Research" TargetMode="External"/><Relationship Id="rId12" Type="http://schemas.openxmlformats.org/officeDocument/2006/relationships/hyperlink" Target="https://onlinelibrary.wiley.com/doi/abs/10.1111/j.1467-6486.2007.00765.x" TargetMode="External"/><Relationship Id="rId13" Type="http://schemas.openxmlformats.org/officeDocument/2006/relationships/hyperlink" Target="https://journals.sagepub.com/doi/abs/10.1177/00187267035612001" TargetMode="External"/><Relationship Id="rId14" Type="http://schemas.openxmlformats.org/officeDocument/2006/relationships/hyperlink" Target="https://journals.sagepub.com/doi/pdf/10.1177/0170840603024006007" TargetMode="External"/><Relationship Id="rId15" Type="http://schemas.openxmlformats.org/officeDocument/2006/relationships/hyperlink" Target="https://journals.sagepub.com/doi/10.1177/0170840603024006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