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Catholic Vigils for IDAHOBIT: Growing Support and Practical Steps for Parishes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prayer and hospitality , Catholic leaders across Europe and beyond joined vigils on IDAHOBIT to comfort LGBTQ+ people, call for recognition, and encourage parishes to plan inclusive services next May 17. This round-up explains what happened, why it matters, and how churches can host meaningful vigils.</w:t>
      </w:r>
      <w:r/>
    </w:p>
    <w:p>
      <w:r/>
      <w:r>
        <w:t>Essential Takeaways</w:t>
      </w:r>
      <w:r/>
      <w:r/>
    </w:p>
    <w:p>
      <w:pPr>
        <w:pStyle w:val="ListBullet"/>
        <w:spacing w:line="240" w:lineRule="auto"/>
        <w:ind w:left="720"/>
      </w:pPr>
      <w:r/>
      <w:r>
        <w:rPr>
          <w:b/>
        </w:rPr>
        <w:t>Widespread growth:</w:t>
      </w:r>
      <w:r>
        <w:t xml:space="preserve"> Vigils that began in Florence in 2007 have spread to more than 60 events across nine countries, showing a steady, hopeful expansion.</w:t>
      </w:r>
      <w:r/>
    </w:p>
    <w:p>
      <w:pPr>
        <w:pStyle w:val="ListBullet"/>
        <w:spacing w:line="240" w:lineRule="auto"/>
        <w:ind w:left="720"/>
      </w:pPr>
      <w:r/>
      <w:r>
        <w:rPr>
          <w:b/>
        </w:rPr>
        <w:t>Clerical support:</w:t>
      </w:r>
      <w:r>
        <w:t xml:space="preserve"> Several bishops and priests publicly affirmed welcome and recognition, using scripture like Isaiah 43:1 to centre dignity.</w:t>
      </w:r>
      <w:r/>
    </w:p>
    <w:p>
      <w:pPr>
        <w:pStyle w:val="ListBullet"/>
        <w:spacing w:line="240" w:lineRule="auto"/>
        <w:ind w:left="720"/>
      </w:pPr>
      <w:r/>
      <w:r>
        <w:rPr>
          <w:b/>
        </w:rPr>
        <w:t>Specific outreach:</w:t>
      </w:r>
      <w:r>
        <w:t xml:space="preserve"> Speakers addressed transgender people directly, emphasising using chosen names and acknowledging lived realities.</w:t>
      </w:r>
      <w:r/>
    </w:p>
    <w:p>
      <w:pPr>
        <w:pStyle w:val="ListBullet"/>
        <w:spacing w:line="240" w:lineRule="auto"/>
        <w:ind w:left="720"/>
      </w:pPr>
      <w:r/>
      <w:r>
        <w:rPr>
          <w:b/>
        </w:rPr>
        <w:t>Concrete harms named:</w:t>
      </w:r>
      <w:r>
        <w:t xml:space="preserve"> Some vigils catalogued physical attacks and sacramental exclusions, underscoring why public prayer and advocacy still matter.</w:t>
      </w:r>
      <w:r/>
    </w:p>
    <w:p>
      <w:pPr>
        <w:pStyle w:val="ListBullet"/>
        <w:spacing w:line="240" w:lineRule="auto"/>
        <w:ind w:left="720"/>
      </w:pPr>
      <w:r/>
      <w:r>
        <w:rPr>
          <w:b/>
        </w:rPr>
        <w:t>Planning tip:</w:t>
      </w:r>
      <w:r>
        <w:t xml:space="preserve"> It’s never too early to invite a bishop or diocesan official; Catholic teaching opposes violence and prejudice, so such invitations are doctrinally defensible.</w:t>
      </w:r>
      <w:r/>
      <w:r/>
    </w:p>
    <w:p>
      <w:pPr>
        <w:pStyle w:val="Heading2"/>
      </w:pPr>
      <w:r>
        <w:t>Opening hook: Vigils that started small are now making noise</w:t>
      </w:r>
      <w:r/>
    </w:p>
    <w:p>
      <w:r/>
      <w:r>
        <w:t>This year’s International Day Against Homophobia, Biphobia, and Transphobia vigils felt different , quieter in tone, but broader in reach, and with a more pastoral warmth. Clergy used human images and scripture, leaving an impression of congregations listening rather than lecturing. According to organisers, the movement that began with a single Florence prayer service after a young man’s suicide has grown into dozens of gatherings across Europe and South America. That steady growth is a reminder that liturgy and solidarity can travel when people bring lived compassion to public worship.</w:t>
      </w:r>
      <w:r/>
    </w:p>
    <w:p>
      <w:pPr>
        <w:pStyle w:val="Heading2"/>
      </w:pPr>
      <w:r>
        <w:t>Why bishops and priests spoke up , and what they actually said</w:t>
      </w:r>
      <w:r/>
    </w:p>
    <w:p>
      <w:r/>
      <w:r>
        <w:t>Speakers framed their messages around safety, name, and belonging. Archbishop Erio Castellucci pointed to shared woundedness and warned against prideful judgement, using John 20 to stress solidarity. Don Massimo Dellera made a striking practical plea for recognising people in their gender transitions, stressing the importance of asking “What is your name?” and using it. These pastoral approaches matter because they shift the focus from abstract doctrine to the small, humane acts that make people feel seen.</w:t>
      </w:r>
      <w:r/>
    </w:p>
    <w:p>
      <w:pPr>
        <w:pStyle w:val="Heading2"/>
      </w:pPr>
      <w:r>
        <w:t>The evidence of harm , why vigils remain necessary</w:t>
      </w:r>
      <w:r/>
    </w:p>
    <w:p>
      <w:r/>
      <w:r>
        <w:t>Not all vigils were simply symbolic. One service in Cagliari documented more than 100 attacks and cases of sacramental denial, mixing prayer with concrete testimony. That mixture , naming harms while praying for conversion of heart , gives vigils urgency. Public services do more than comfort victims; they put pressure on parishes and dioceses to reckon with local realities and to change practices that exclude.</w:t>
      </w:r>
      <w:r/>
    </w:p>
    <w:p>
      <w:pPr>
        <w:pStyle w:val="Heading2"/>
      </w:pPr>
      <w:r>
        <w:t>Practical steps for parishes thinking about hosting a vigil</w:t>
      </w:r>
      <w:r/>
    </w:p>
    <w:p>
      <w:r/>
      <w:r>
        <w:t>If your parish is considering hosting an IDAHOBIT vigil, start early. Invite diocesan officials and bishops well in advance; there’s no doctrinal bar to condemning violence and prejudice. Keep the service pastoral and simple: scripture readings (Isaiah 43:1 was widely used), short homilies that centre dignity, moments for naming victims, and a chance for quiet prayer. Consider practical accessibility , quiet spaces, safe signposting, and clear language around inclusive pastoral care , so attendees feel physically and emotionally welcome.</w:t>
      </w:r>
      <w:r/>
    </w:p>
    <w:p>
      <w:pPr>
        <w:pStyle w:val="Heading2"/>
      </w:pPr>
      <w:r>
        <w:t>Trends and what to expect for 2027</w:t>
      </w:r>
      <w:r/>
    </w:p>
    <w:p>
      <w:r/>
      <w:r>
        <w:t>The vigils’ expansion signals a modest but meaningful shift in parts of the Catholic world: more clergy willing to speak publicly for recognition and care, and more grassroots groups ready to organise. European institutions and human-rights bodies also marked IDAHOBIT this year, adding civic momentum. Expect more parishes to hold events next May 17, and a push among organisers to double the number of Catholic vigils in 2027. If momentum continues, these gatherings could move from exception to routine pastoral practice in some dioceses.</w:t>
      </w:r>
      <w:r/>
    </w:p>
    <w:p>
      <w:pPr>
        <w:pStyle w:val="Heading2"/>
      </w:pPr>
      <w:r>
        <w:t>Reaction and outlook: small acts with big ripple effects</w:t>
      </w:r>
      <w:r/>
    </w:p>
    <w:p>
      <w:r/>
      <w:r>
        <w:t>There’s an emotional clarity in vigils that combine lament, concrete testimony, and invitation. When clergy admit past mistakes in language, or when a congregation prays for victims of violence, it signals a willingness to change. These are modest rites, but they can open doors , literally and figuratively , as one priest put it: “a door through which we can all enter.” For parish teams, the challenge now is to turn that welcome into ongoing pastoral care, not just a single annual event.</w:t>
      </w:r>
      <w:r/>
    </w:p>
    <w:p>
      <w:r/>
      <w:r>
        <w:t>It's a small change that can make every parish a safer place to pray.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https://www.newwaysministry.org/2026/06/13/idahobit-catholic-prayer-services-to-end-discrimination-and-violence-part-1/</w:t>
        </w:r>
      </w:hyperlink>
      <w:r>
        <w:t xml:space="preserve"> - Please view link - unable to able to access data</w:t>
      </w:r>
      <w:r/>
    </w:p>
    <w:p>
      <w:pPr>
        <w:pStyle w:val="ListNumber"/>
        <w:spacing w:line="240" w:lineRule="auto"/>
        <w:ind w:left="720"/>
      </w:pPr>
      <w:r/>
      <w:hyperlink r:id="rId10">
        <w:r>
          <w:rPr>
            <w:color w:val="0000EE"/>
            <w:u w:val="single"/>
          </w:rPr>
          <w:t>https://www.hrc.org/press-releases/democracy-belongs-to-all-of-us-hrc-marks-international-day-against-homophobia-biphobia-and-transphobia</w:t>
        </w:r>
      </w:hyperlink>
      <w:r>
        <w:t xml:space="preserve"> - The Human Rights Campaign (HRC) commemorates the International Day Against Homophobia, Biphobia, and Transphobia (IDAHOBIT) on May 17, 2026, highlighting ongoing challenges faced by LGBTQ+ individuals, including attacks on civil rights and healthcare. HRC President Kelley Robinson emphasises the collective power to fight back against these challenges, asserting that democracy belongs to all and that the LGBTQ+ community will not be erased or silenced.</w:t>
      </w:r>
      <w:r/>
    </w:p>
    <w:p>
      <w:pPr>
        <w:pStyle w:val="ListNumber"/>
        <w:spacing w:line="240" w:lineRule="auto"/>
        <w:ind w:left="720"/>
      </w:pPr>
      <w:r/>
      <w:hyperlink r:id="rId12">
        <w:r>
          <w:rPr>
            <w:color w:val="0000EE"/>
            <w:u w:val="single"/>
          </w:rPr>
          <w:t>https://www.consilium.europa.eu/en/press/press-releases/2026/05/16/international-day-against-homophobia-biphobia-and-transphobia-statement-by-the-high-representative-on-behalf-of-the-european-union-2026/pdf/</w:t>
        </w:r>
      </w:hyperlink>
      <w:r>
        <w:t xml:space="preserve"> - The European Union, through a statement by the High Representative, reaffirms its commitment to upholding the full and equal enjoyment of human rights by LGBTI persons on the International Day Against Homophobia, Biphobia, and Transphobia (IDAHOT). The EU highlights the persistence of discrimination and violence against LGBTI individuals worldwide and urges all states to repeal laws criminalising consensual same-sex relations, emphasising that equality is fundamental to free and resilient societies.</w:t>
      </w:r>
      <w:r/>
    </w:p>
    <w:p>
      <w:pPr>
        <w:pStyle w:val="ListNumber"/>
        <w:spacing w:line="240" w:lineRule="auto"/>
        <w:ind w:left="720"/>
      </w:pPr>
      <w:r/>
      <w:hyperlink r:id="rId11">
        <w:r>
          <w:rPr>
            <w:color w:val="0000EE"/>
            <w:u w:val="single"/>
          </w:rPr>
          <w:t>https://www.coe.int/en/web/european-youth-foundation/-/international-day-against-homophobia-biphobia-and-transphobia-2026-supporting-lgbtqia-youth-and-inclusion</w:t>
        </w:r>
      </w:hyperlink>
      <w:r>
        <w:t xml:space="preserve"> - The European Youth Foundation marks the International Day Against Homophobia, Biphobia, and Transphobia (IDAHOBIT) on May 17, 2026, focusing on supporting LGBTQIA+ youth and inclusion. The day serves as a reminder that every young person, regardless of their sexual orientation, gender identity, gender expression, and sex characteristics, should fully enjoy their human rights and live in safety, dignity, and respect. The Foundation acknowledges the ongoing discrimination, exclusion, and violence faced by LGBTQI+ young people across Europe.</w:t>
      </w:r>
      <w:r/>
    </w:p>
    <w:p>
      <w:pPr>
        <w:pStyle w:val="ListNumber"/>
        <w:spacing w:line="240" w:lineRule="auto"/>
        <w:ind w:left="720"/>
      </w:pPr>
      <w:r/>
      <w:hyperlink r:id="rId13">
        <w:r>
          <w:rPr>
            <w:color w:val="0000EE"/>
            <w:u w:val="single"/>
          </w:rPr>
          <w:t>https://humanrights.novascotia.ca/news-events/news/2026/international-day-against-homophobia-transphobia-and-biphobia</w:t>
        </w:r>
      </w:hyperlink>
      <w:r>
        <w:t xml:space="preserve"> - The Nova Scotia Human Rights Commission observes the International Day Against Homophobia, Transphobia, and Biphobia on May 15, 2026, affirming the dignity, safety, and human rights of 2SLGBTQIA+ people and communities. The Commission highlights the ongoing discrimination and exclusion faced by these individuals in Nova Scotia, Canada, and worldwide, noting that public conversations surrounding gender identity, sexual orientation, and inclusion have become increasingly polarized, contributing to fear, misinformation, harassment, and hostility directed toward 2SLGBTQIA+ individuals.</w:t>
      </w:r>
      <w:r/>
    </w:p>
    <w:p>
      <w:pPr>
        <w:pStyle w:val="ListNumber"/>
        <w:spacing w:line="240" w:lineRule="auto"/>
        <w:ind w:left="720"/>
      </w:pPr>
      <w:r/>
      <w:hyperlink r:id="rId14">
        <w:r>
          <w:rPr>
            <w:color w:val="0000EE"/>
            <w:u w:val="single"/>
          </w:rPr>
          <w:t>https://equalrightscoalition.org/statement-by-the-equal-rights-coalition-for-the-international-day-against-homophobia-biphobia-and-transphobia-idahobit-2026/</w:t>
        </w:r>
      </w:hyperlink>
      <w:r>
        <w:t xml:space="preserve"> - The Equal Rights Coalition (ERC), comprising member states, intergovernmental organisations, and over 100 civil society organisations, expresses support for the 2026 theme of the International Day Against Homophobia, Transphobia, and Biphobia (IDAHOBIT), which asserts that the fight for equal rights for LGBTI+ people is at the heart of democracy. The ERC highlights the importance of tackling hatred, violence, and discrimination faced by LGBTIQ+ people in different ways due to their race, poverty, disability, immigration status, age, and other intersectional vulnerabilities.</w:t>
      </w:r>
      <w:r/>
    </w:p>
    <w:p>
      <w:pPr>
        <w:pStyle w:val="ListNumber"/>
        <w:spacing w:line="240" w:lineRule="auto"/>
        <w:ind w:left="720"/>
      </w:pPr>
      <w:r/>
      <w:hyperlink r:id="rId15">
        <w:r>
          <w:rPr>
            <w:color w:val="0000EE"/>
            <w:u w:val="single"/>
          </w:rPr>
          <w:t>https://indonesia.un.org/en/315358-international-day-against-homophobia-biphobia-and-transphobia-2026-secretary-generals</w:t>
        </w:r>
      </w:hyperlink>
      <w:r>
        <w:t xml:space="preserve"> - United Nations Secretary-General António Guterres delivers a message on the International Day Against Homophobia, Biphobia, and Transphobia on May 17, 2026, affirming that being who you are should never be a crime. He acknowledges the progress made in advancing equal rights for LGBTIQ+ people but notes the concerted efforts to roll back their human rights, including restricting freedom of expression and peaceful assembly, stoking hate, targeting human rights defenders, and slashing funds for essential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13/idahobit-catholic-prayer-services-to-end-discrimination-and-violence-part-1/" TargetMode="External"/><Relationship Id="rId10" Type="http://schemas.openxmlformats.org/officeDocument/2006/relationships/hyperlink" Target="https://www.hrc.org/press-releases/democracy-belongs-to-all-of-us-hrc-marks-international-day-against-homophobia-biphobia-and-transphobia" TargetMode="External"/><Relationship Id="rId11" Type="http://schemas.openxmlformats.org/officeDocument/2006/relationships/hyperlink" Target="https://www.coe.int/en/web/european-youth-foundation/-/international-day-against-homophobia-biphobia-and-transphobia-2026-supporting-lgbtqia-youth-and-inclusion" TargetMode="External"/><Relationship Id="rId12" Type="http://schemas.openxmlformats.org/officeDocument/2006/relationships/hyperlink" Target="https://www.consilium.europa.eu/en/press/press-releases/2026/05/16/international-day-against-homophobia-biphobia-and-transphobia-statement-by-the-high-representative-on-behalf-of-the-european-union-2026/pdf/" TargetMode="External"/><Relationship Id="rId13" Type="http://schemas.openxmlformats.org/officeDocument/2006/relationships/hyperlink" Target="https://humanrights.novascotia.ca/news-events/news/2026/international-day-against-homophobia-transphobia-and-biphobia" TargetMode="External"/><Relationship Id="rId14" Type="http://schemas.openxmlformats.org/officeDocument/2006/relationships/hyperlink" Target="https://equalrightscoalition.org/statement-by-the-equal-rights-coalition-for-the-international-day-against-homophobia-biphobia-and-transphobia-idahobit-2026/" TargetMode="External"/><Relationship Id="rId15" Type="http://schemas.openxmlformats.org/officeDocument/2006/relationships/hyperlink" Target="https://indonesia.un.org/en/315358-international-day-against-homophobia-biphobia-and-transphobia-2026-secretary-gener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