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Funding Routes for LGBTQ+ Wellness Startups: 13 Practical Options to Try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founders alike are searching for capital that understands lived experience; LGBTQ+ wellness entrepreneurs are turning to a mix of grants, mission lenders and creative financing to get projects off the ground and keep services running where they matter most. Here’s a clear, usable guide to 13 funding pathways that actually move the dial.</w:t>
      </w:r>
      <w:r/>
    </w:p>
    <w:p>
      <w:r/>
      <w:r>
        <w:t>Essential Takeaways</w:t>
      </w:r>
      <w:r/>
      <w:r/>
    </w:p>
    <w:p>
      <w:pPr>
        <w:pStyle w:val="ListBullet"/>
        <w:spacing w:line="240" w:lineRule="auto"/>
        <w:ind w:left="720"/>
      </w:pPr>
      <w:r/>
      <w:r>
        <w:rPr>
          <w:b/>
        </w:rPr>
        <w:t>Start with microgrants:</w:t>
      </w:r>
      <w:r>
        <w:t xml:space="preserve"> Small, non‑dilutive awards are ideal for prototyping and outreach, and they usually come with community credibility.</w:t>
      </w:r>
      <w:r/>
    </w:p>
    <w:p>
      <w:pPr>
        <w:pStyle w:val="ListBullet"/>
        <w:spacing w:line="240" w:lineRule="auto"/>
        <w:ind w:left="720"/>
      </w:pPr>
      <w:r/>
      <w:r>
        <w:rPr>
          <w:b/>
        </w:rPr>
        <w:t>Use CDFIs and SBA options:</w:t>
      </w:r>
      <w:r>
        <w:t xml:space="preserve"> Community Development Financial Institutions and SBA loans offer patient terms and local mission alignment, though timelines vary.</w:t>
      </w:r>
      <w:r/>
    </w:p>
    <w:p>
      <w:pPr>
        <w:pStyle w:val="ListBullet"/>
        <w:spacing w:line="240" w:lineRule="auto"/>
        <w:ind w:left="720"/>
      </w:pPr>
      <w:r/>
      <w:r>
        <w:rPr>
          <w:b/>
        </w:rPr>
        <w:t>Blend debt and philanthropy:</w:t>
      </w:r>
      <w:r>
        <w:t xml:space="preserve"> Leasing, invoice financing and fiscal sponsorships can stabilise cash flow while you pursue bigger investments.</w:t>
      </w:r>
      <w:r/>
    </w:p>
    <w:p>
      <w:pPr>
        <w:pStyle w:val="ListBullet"/>
        <w:spacing w:line="240" w:lineRule="auto"/>
        <w:ind w:left="720"/>
      </w:pPr>
      <w:r/>
      <w:r>
        <w:rPr>
          <w:b/>
        </w:rPr>
        <w:t>Crowd and corporate routes validate demand:</w:t>
      </w:r>
      <w:r>
        <w:t xml:space="preserve"> Crowdfunding and supplier diversity programmes build customers and unlock contracts.</w:t>
      </w:r>
      <w:r/>
    </w:p>
    <w:p>
      <w:pPr>
        <w:pStyle w:val="ListBullet"/>
        <w:spacing w:line="240" w:lineRule="auto"/>
        <w:ind w:left="720"/>
      </w:pPr>
      <w:r/>
      <w:r>
        <w:rPr>
          <w:b/>
        </w:rPr>
        <w:t>Think systemically:</w:t>
      </w:r>
      <w:r>
        <w:t xml:space="preserve"> Combining microgrants, local funds and impact investors reduces reliance on VCs that often overlook queer health ventures.</w:t>
      </w:r>
      <w:r/>
      <w:r/>
    </w:p>
    <w:p>
      <w:pPr>
        <w:pStyle w:val="Heading2"/>
      </w:pPr>
      <w:r>
        <w:t>Why microgrants are the quickest wins for queer health projects</w:t>
      </w:r>
      <w:r/>
    </w:p>
    <w:p>
      <w:r/>
      <w:r>
        <w:t>Microgrants feel small but they punch above their weight; they’re often equity‑free, quick to apply for and give you room to test services with real people. Groups such as local LGBTQ+ organisations and community funds routinely run tiny grant cycles that fund outreach, pilot services or equipment. According to grassroots programmes, these awards also boost your credibility when talking to bigger funders. Practical tip: apply to several microgrant programmes at once and tailor each application to specific community outcomes , impact language matters more than jargon. Reaction: for many founders, that first “yes” from a microgrant is less about money and more about proof that someone believes in the idea.</w:t>
      </w:r>
      <w:r/>
    </w:p>
    <w:p>
      <w:pPr>
        <w:pStyle w:val="Heading2"/>
      </w:pPr>
      <w:r>
        <w:t>How CDFIs and SBA loans can stabilise early growth</w:t>
      </w:r>
      <w:r/>
    </w:p>
    <w:p>
      <w:r/>
      <w:r>
        <w:t>Community Development Financial Institutions look beyond credit scores and often favour projects with clear local health benefits, so they’re a natural match for inclusive wellness spaces. SBA loans give structured, relatively low‑cost capital for equipment, premises and payroll, but speed can be an issue when you need same‑day funding. That’s where short‑term bridge products or alternative lenders can keep you afloat. Practical tip: prepare a concise community impact plan and simple cash‑flow forecasts before approaching CDFIs or the SBA , it helps speed approvals. Outlook: if you’re building a clinic or a membership service, these sources can support sustainable scaling without handing over equity.</w:t>
      </w:r>
      <w:r/>
    </w:p>
    <w:p>
      <w:pPr>
        <w:pStyle w:val="Heading2"/>
      </w:pPr>
      <w:r>
        <w:t>Crowdfunding and community campaigns: raise money and test demand</w:t>
      </w:r>
      <w:r/>
    </w:p>
    <w:p>
      <w:r/>
      <w:r>
        <w:t>Public campaigns on platforms such as Kickstarter or Republic do more than raise cash; they prove there’s a customer base ready to pay for your service. Crowdfunding works best with a clear, tangible offer , pilot sessions, branded memberships or limited‑run programmes that supporters can buy into. Practical tip: build a two‑week prelaunch to collect emails and test messaging; early momentum drives algorithmic visibility and social proof. Thought: community funding keeps your mission visible and ties donors directly to outcomes, which is especially powerful in under‑served markets.</w:t>
      </w:r>
      <w:r/>
    </w:p>
    <w:p>
      <w:pPr>
        <w:pStyle w:val="Heading2"/>
      </w:pPr>
      <w:r>
        <w:t>Philanthropy, social impact investors and healthcare foundations</w:t>
      </w:r>
      <w:r/>
    </w:p>
    <w:p>
      <w:r/>
      <w:r>
        <w:t>Foundations and impact investors want measurable wellness outcomes, not unicorn exits, so they’re often patient and mission‑aligned partners for queer health startups. Healthcare philanthropy can underwrite research, evaluation or subsidised care; impact investors can provide growth capital if you show scalable impact metrics. Practical tip: design your KPIs around health outcomes and access metrics, not just revenue , funders in this space care about real change. Commentary: combining a foundation grant with impact capital can let you build both services and the evaluation capacity funders expect.</w:t>
      </w:r>
      <w:r/>
    </w:p>
    <w:p>
      <w:pPr>
        <w:pStyle w:val="Heading2"/>
      </w:pPr>
      <w:r>
        <w:t>Corporate supplier diversity and patient financing for revenue routes</w:t>
      </w:r>
      <w:r/>
    </w:p>
    <w:p>
      <w:r/>
      <w:r>
        <w:t>Large healthcare corporations run supplier diversity programmes that can open procurement pathways and long‑term contracts if you gain certification. On the consumer side, integrating patient payment financing helps clients afford costly care while you get paid upfront , a practical solution for gender‑affirming or specialty services. Practical tip: explore supplier diversity certification early and compare patient financing providers on fees and approval speed. Reaction: these routes move you toward predictable income, which investors and lenders love to see.</w:t>
      </w:r>
      <w:r/>
    </w:p>
    <w:p>
      <w:pPr>
        <w:pStyle w:val="Heading2"/>
      </w:pPr>
      <w:r>
        <w:t>Operations hacks: leasing, invoice financing and fiscal sponsorships</w:t>
      </w:r>
      <w:r/>
    </w:p>
    <w:p>
      <w:r/>
      <w:r>
        <w:t>Equipment leasing preserves cash by turning big capital buys into affordable monthly costs, ideal for clinics and tech infrastructure. Insurance invoice financing , or factoring , advances funds on pending claims so you aren’t stranded waiting for reimbursements. Fiscal sponsorship lets you accept tax‑deductible donations through an established non‑profit while your own charity application progresses. Practical tip: run a cash‑flow model that includes leasing payments or factoring fees so surprises don’t derail payroll. Outlook: these tools aren’t glamorous, but they’re the practical plumbing that keeps care available day to day.</w:t>
      </w:r>
      <w:r/>
    </w:p>
    <w:p>
      <w:pPr>
        <w:pStyle w:val="Heading2"/>
      </w:pPr>
      <w:r>
        <w:t>How to combine these 13 routes into a fundraising playbook</w:t>
      </w:r>
      <w:r/>
    </w:p>
    <w:p>
      <w:r/>
      <w:r>
        <w:t>Think layered: start with microgrants and crowdfunding to validate demand, add CDFI or SBA loans for fixed costs, then tap impact capital or corporate contracts for growth rounds. Keep grant applications focused on measurable community outcomes and keep debt conservative so you don’t outpace revenue. Practical tip: map a 12‑month capital plan showing when each funding instrument kicks in , it clarifies which milestones unlock the next round. Final note: persistence pays. Many queer founders stitch together several of these options before landing a major check, and that diversity of funding makes the business more resilient.</w:t>
      </w:r>
      <w:r/>
    </w:p>
    <w:p>
      <w:r/>
      <w:r>
        <w:t>It's a small shift in approach that can turn an inclusive health idea into a lasting service the community trusts.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[5]</w:t>
        </w:r>
      </w:hyperlink>
      <w:r>
        <w:t xml:space="preserve">- Paragraph 6: </w:t>
      </w:r>
      <w:hyperlink r:id="rId14">
        <w:r>
          <w:rPr>
            <w:color w:val="0000EE"/>
            <w:u w:val="single"/>
          </w:rPr>
          <w:t>[4]</w:t>
        </w:r>
      </w:hyperlink>
      <w:r>
        <w:t xml:space="preserve">, </w:t>
      </w:r>
      <w:hyperlink r:id="rId15">
        <w:r>
          <w:rPr>
            <w:color w:val="0000EE"/>
            <w:u w:val="single"/>
          </w:rPr>
          <w:t>[6]</w:t>
        </w:r>
      </w:hyperlink>
      <w:r>
        <w:t xml:space="preserve">- Paragraph 7: </w:t>
      </w:r>
      <w:hyperlink r:id="rId12">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https://www.lgbtqandall.com/funding-lgbtq-wellness-startups/</w:t>
        </w:r>
      </w:hyperlink>
      <w:r>
        <w:t xml:space="preserve"> - Please view link - unable to able to access data</w:t>
      </w:r>
      <w:r/>
    </w:p>
    <w:p>
      <w:pPr>
        <w:pStyle w:val="ListNumber"/>
        <w:spacing w:line="240" w:lineRule="auto"/>
        <w:ind w:left="720"/>
      </w:pPr>
      <w:r/>
      <w:hyperlink r:id="rId10">
        <w:r>
          <w:rPr>
            <w:color w:val="0000EE"/>
            <w:u w:val="single"/>
          </w:rPr>
          <w:t>https://www.outmemphis.org/uplift</w:t>
        </w:r>
      </w:hyperlink>
      <w:r>
        <w:t xml:space="preserve"> - The Uplift Fund offers $750 microgrants to transgender, nonbinary, and gender-expansive individuals aged 18 and over in Shelby, DeSoto, Crittenden, Tipton, or Fayette counties. Applications are open twice a year, with specific deadlines for each cycle. Eligible applicants can receive one grant per cycle, with a maximum of two grants over three years. The fund supports various needs, including medical care expenses, and aims to empower individuals within the community.</w:t>
      </w:r>
      <w:r/>
    </w:p>
    <w:p>
      <w:pPr>
        <w:pStyle w:val="ListNumber"/>
        <w:spacing w:line="240" w:lineRule="auto"/>
        <w:ind w:left="720"/>
      </w:pPr>
      <w:r/>
      <w:hyperlink r:id="rId11">
        <w:r>
          <w:rPr>
            <w:color w:val="0000EE"/>
            <w:u w:val="single"/>
          </w:rPr>
          <w:t>https://www.ithacapridealliance.org/micro-grants</w:t>
        </w:r>
      </w:hyperlink>
      <w:r>
        <w:t xml:space="preserve"> - The Ithaca Pride Alliance provides microgrants of up to $500 to individuals and organizations in Tompkins County. The grants focus on four categories: Celebrating History and Local Culture, Expanding Community Visibility and Advocacy-Based Support, Cultivating LGBTQ+ Arts and Culture, and Growing &amp; Celebrating Intersectionality. Applications are reviewed year-round on a rolling basis, and funds are released upon submission of required materials, even if the proposed project has not yet begun.</w:t>
      </w:r>
      <w:r/>
    </w:p>
    <w:p>
      <w:pPr>
        <w:pStyle w:val="ListNumber"/>
        <w:spacing w:line="240" w:lineRule="auto"/>
        <w:ind w:left="720"/>
      </w:pPr>
      <w:r/>
      <w:hyperlink r:id="rId14">
        <w:r>
          <w:rPr>
            <w:color w:val="0000EE"/>
            <w:u w:val="single"/>
          </w:rPr>
          <w:t>https://www.capitalcdc.com/community-advantage</w:t>
        </w:r>
      </w:hyperlink>
      <w:r>
        <w:t xml:space="preserve"> - The SBA 7(a) Community Advantage Loan Program is designed to assist underserved markets in accessing capital. This program offers financing for items ineligible for 504 funding and is available as a standalone 7(a) loan or as a companion to the SBA 504 Loan. Eligibility includes start-up businesses, borrowers must provide a business plan and financial projections, and the program aims to bridge the financing gap for underserved communities.</w:t>
      </w:r>
      <w:r/>
    </w:p>
    <w:p>
      <w:pPr>
        <w:pStyle w:val="ListNumber"/>
        <w:spacing w:line="240" w:lineRule="auto"/>
        <w:ind w:left="720"/>
      </w:pPr>
      <w:r/>
      <w:hyperlink r:id="rId12">
        <w:r>
          <w:rPr>
            <w:color w:val="0000EE"/>
            <w:u w:val="single"/>
          </w:rPr>
          <w:t>https://www.evedevittfund.org/grants</w:t>
        </w:r>
      </w:hyperlink>
      <w:r>
        <w:t xml:space="preserve"> - The Eve Devitt Fund provides microgrants of up to $500 to Idaho grassroots youth organizers advancing human rights and building community for queer individuals. The grants can be used for various expenses, including demonstration supplies, bail for civil disobedience, food and supplies for queer youth group meetings, honorariums for guest speakers and drag queens, fundraiser materials, recruitment and tabling materials, and organizing software subscriptions.</w:t>
      </w:r>
      <w:r/>
    </w:p>
    <w:p>
      <w:pPr>
        <w:pStyle w:val="ListNumber"/>
        <w:spacing w:line="240" w:lineRule="auto"/>
        <w:ind w:left="720"/>
      </w:pPr>
      <w:r/>
      <w:hyperlink r:id="rId15">
        <w:r>
          <w:rPr>
            <w:color w:val="0000EE"/>
            <w:u w:val="single"/>
          </w:rPr>
          <w:t>https://www.upliftingtransfund.org/</w:t>
        </w:r>
      </w:hyperlink>
      <w:r>
        <w:t xml:space="preserve"> - The Uplifting Trans Fund distributes microgrants to projects that support and celebrate transgender, non-binary, and intersex people and communities. The fund focuses on four grant categories: Advocacy, Creativity, Joy, and Resilience. Each grant cycle includes one additional microgrant 'Priority Area' as determined by the Board of Directors. The fund is donor-supported and encourages cisgender people to donate and share its mission as an act of trans solidarity.</w:t>
      </w:r>
      <w:r/>
    </w:p>
    <w:p>
      <w:pPr>
        <w:pStyle w:val="ListNumber"/>
        <w:spacing w:line="240" w:lineRule="auto"/>
        <w:ind w:left="720"/>
      </w:pPr>
      <w:r/>
      <w:hyperlink r:id="rId13">
        <w:r>
          <w:rPr>
            <w:color w:val="0000EE"/>
            <w:u w:val="single"/>
          </w:rPr>
          <w:t>https://www.appily.com/scholarships/bees-fund-microgrants</w:t>
        </w:r>
      </w:hyperlink>
      <w:r>
        <w:t xml:space="preserve"> - Bee's Fund Microgrants, offered by the Stonewall Community Foundation, provide grants ranging from $25 to $650 to LGBTQ individuals aged 16 to 26 who have lost family support due to their sexual orientation or gender identity. Applicants must reside in the United States and identify as lesbian, gay, bisexual, transgender, queer, non-binary/genderqueer, or gender non-conforming. The grants aim to help young individuals become self-sufficient and are available on a rolling basis.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andall.com/funding-lgbtq-wellness-startups/" TargetMode="External"/><Relationship Id="rId10" Type="http://schemas.openxmlformats.org/officeDocument/2006/relationships/hyperlink" Target="https://www.outmemphis.org/uplift" TargetMode="External"/><Relationship Id="rId11" Type="http://schemas.openxmlformats.org/officeDocument/2006/relationships/hyperlink" Target="https://www.ithacapridealliance.org/micro-grants" TargetMode="External"/><Relationship Id="rId12" Type="http://schemas.openxmlformats.org/officeDocument/2006/relationships/hyperlink" Target="https://www.evedevittfund.org/grants" TargetMode="External"/><Relationship Id="rId13" Type="http://schemas.openxmlformats.org/officeDocument/2006/relationships/hyperlink" Target="https://www.appily.com/scholarships/bees-fund-microgrants" TargetMode="External"/><Relationship Id="rId14" Type="http://schemas.openxmlformats.org/officeDocument/2006/relationships/hyperlink" Target="https://www.capitalcdc.com/community-advantage" TargetMode="External"/><Relationship Id="rId15" Type="http://schemas.openxmlformats.org/officeDocument/2006/relationships/hyperlink" Target="https://www.upliftingtransfu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