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Lessons from Barney Frank for Today’s LGBTQ Activists and Allies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history for strategy: veterans and new activists alike are revisiting lessons from Barney Frank to sharpen tactics, defend asylum wins, and decide when to compromise , because knowing what worked in the 1990s matters for fights happening now.</w:t>
      </w:r>
      <w:r/>
    </w:p>
    <w:p>
      <w:r/>
      <w:r>
        <w:t>Essential Takeaways</w:t>
      </w:r>
      <w:r/>
      <w:r/>
    </w:p>
    <w:p>
      <w:pPr>
        <w:pStyle w:val="ListBullet"/>
        <w:spacing w:line="240" w:lineRule="auto"/>
        <w:ind w:left="720"/>
      </w:pPr>
      <w:r/>
      <w:r>
        <w:rPr>
          <w:b/>
        </w:rPr>
        <w:t>Sharp evidence matters:</w:t>
      </w:r>
      <w:r>
        <w:t xml:space="preserve"> insist on documentation and proof when making persecution claims; it strengthens advocacy.</w:t>
      </w:r>
      <w:r/>
    </w:p>
    <w:p>
      <w:pPr>
        <w:pStyle w:val="ListBullet"/>
        <w:spacing w:line="240" w:lineRule="auto"/>
        <w:ind w:left="720"/>
      </w:pPr>
      <w:r/>
      <w:r>
        <w:rPr>
          <w:b/>
        </w:rPr>
        <w:t>Stay informed:</w:t>
      </w:r>
      <w:r>
        <w:t xml:space="preserve"> read widely and consistently; policy wins often follow sustained attention and knowledge.</w:t>
      </w:r>
      <w:r/>
    </w:p>
    <w:p>
      <w:pPr>
        <w:pStyle w:val="ListBullet"/>
        <w:spacing w:line="240" w:lineRule="auto"/>
        <w:ind w:left="720"/>
      </w:pPr>
      <w:r/>
      <w:r>
        <w:rPr>
          <w:b/>
        </w:rPr>
        <w:t>Use gratitude strategically:</w:t>
      </w:r>
      <w:r>
        <w:t xml:space="preserve"> simple thank-you notes to allies and officials can cement crucial political wins.</w:t>
      </w:r>
      <w:r/>
    </w:p>
    <w:p>
      <w:pPr>
        <w:pStyle w:val="ListBullet"/>
        <w:spacing w:line="240" w:lineRule="auto"/>
        <w:ind w:left="720"/>
      </w:pPr>
      <w:r/>
      <w:r>
        <w:rPr>
          <w:b/>
        </w:rPr>
        <w:t>Pragmatism vs principle:</w:t>
      </w:r>
      <w:r>
        <w:t xml:space="preserve"> incremental wins can open doors, but activists must decide when to push for bold change.</w:t>
      </w:r>
      <w:r/>
    </w:p>
    <w:p>
      <w:pPr>
        <w:pStyle w:val="ListBullet"/>
        <w:spacing w:line="240" w:lineRule="auto"/>
        <w:ind w:left="720"/>
      </w:pPr>
      <w:r/>
      <w:r>
        <w:rPr>
          <w:b/>
        </w:rPr>
        <w:t>Legal wins have long tails:</w:t>
      </w:r>
      <w:r>
        <w:t xml:space="preserve"> asylum precedent for LGBTQ people reshaped protection for thousands; such gains need defending.</w:t>
      </w:r>
      <w:r/>
      <w:r/>
    </w:p>
    <w:p>
      <w:pPr>
        <w:pStyle w:val="Heading2"/>
      </w:pPr>
      <w:r>
        <w:t>Why precision , and receipts , still win campaigns</w:t>
      </w:r>
      <w:r/>
    </w:p>
    <w:p>
      <w:r/>
      <w:r>
        <w:t>Barney Frank taught activists to demand concrete proof, and that habit transformed campaigning from shouting into persuasive advocacy. A clear, well-documented account of harm is more likely to get officials' attention and to survive legal scrutiny. In practice, that means gathering witness statements, medical or legal records, and contemporaneous notes , the kind of gritty paperwork that feels boring until it wins a case. For activists working on asylum, hate crimes, or international human rights, precision isn’t pedantry; it’s survival.</w:t>
      </w:r>
      <w:r/>
    </w:p>
    <w:p>
      <w:pPr>
        <w:pStyle w:val="Heading2"/>
      </w:pPr>
      <w:r>
        <w:t>Reading as a political tool , not a hobby</w:t>
      </w:r>
      <w:r/>
    </w:p>
    <w:p>
      <w:r/>
      <w:r>
        <w:t>Barney flew with duffel bags of newspapers; the lesson was simple , stay current. Today that looks like disciplined reading across reporting, policy memos, and academic work, plus a steady diet of government releases. Being the person in the room who can cite the latest study or memo changes how you’re treated. If you want to be influential, make time to read and curate what matters for your issue, then translate it into short, usable briefs for decision-makers.</w:t>
      </w:r>
      <w:r/>
    </w:p>
    <w:p>
      <w:pPr>
        <w:pStyle w:val="Heading2"/>
      </w:pPr>
      <w:r>
        <w:t>Small courtesies, big outcomes: the art of saying thank you</w:t>
      </w:r>
      <w:r/>
    </w:p>
    <w:p>
      <w:r/>
      <w:r>
        <w:t>A thank-you note after a policy victory felt revolutionary to the author , and it should. Civics isn’t just pressure; it’s relationships. Sending a quick note of thanks, or following up with evidence showing the impact of a decision, helps cement future collaboration. It’s a modest habit that increases your leverage, especially when you’re asking busy officials to act on unfamiliar or unpopular issues.</w:t>
      </w:r>
      <w:r/>
    </w:p>
    <w:p>
      <w:pPr>
        <w:pStyle w:val="Heading2"/>
      </w:pPr>
      <w:r>
        <w:t>When to compromise , and when to insist</w:t>
      </w:r>
      <w:r/>
    </w:p>
    <w:p>
      <w:r/>
      <w:r>
        <w:t>Frank modelled a pragmatic approach: sometimes you remove a provision to get a bill over the line, other times you hold firm. That ambiguity provoked fierce debate, especially when it affected trans protections in the mid-2000s. The takeaway for activists is tactical: map the consequences of concessions, consult those most affected, and set clear red lines. Incremental wins can be footholds, but you need a strategy for turning them into lasting justice.</w:t>
      </w:r>
      <w:r/>
    </w:p>
    <w:p>
      <w:pPr>
        <w:pStyle w:val="Heading2"/>
      </w:pPr>
      <w:r>
        <w:t>Defending legal milestones that shelter lives</w:t>
      </w:r>
      <w:r/>
    </w:p>
    <w:p>
      <w:r/>
      <w:r>
        <w:t>The fight to recognise LGBTQ people within asylum law illustrates how a single legal decision can open doors for thousands. Legal precedents established decades ago still protect people fleeing persecution today , until they’re eroded. That means legal literacy matters: activists should document cases, archive records, and support attorneys who can defend these precedents. Preserving wins is as important as winning them.</w:t>
      </w:r>
      <w:r/>
    </w:p>
    <w:p>
      <w:pPr>
        <w:pStyle w:val="Heading2"/>
      </w:pPr>
      <w:r>
        <w:t>Remembering mentors and rethinking strategy</w:t>
      </w:r>
      <w:r/>
    </w:p>
    <w:p>
      <w:r/>
      <w:r>
        <w:t>Personal mentorship shaped a generation of leaders, and the author’s friendship with Barney Frank shows how tough love, blunt advice, and dinners can make enduring impact. At the same time, contemporary threats and the rise of authoritarianism mean that some older strategies need rethinking. Activists should honour lessons from the past while imagining bolder reforms , combining institutional savvy with visionary demands for systemic change.</w:t>
      </w:r>
      <w:r/>
    </w:p>
    <w:p>
      <w:r/>
      <w:r>
        <w:t>It's a small change in habit , more reading, better documentation, and a few thank-you notes , that can make every campaign more effective.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9">
        <w:r>
          <w:rPr>
            <w:color w:val="0000EE"/>
            <w:u w:val="single"/>
          </w:rPr>
          <w:t>[3]</w:t>
        </w:r>
      </w:hyperlink>
      <w:r>
        <w:t xml:space="preserve">- Paragraph 2: </w:t>
      </w:r>
      <w:hyperlink r:id="rId9">
        <w:r>
          <w:rPr>
            <w:color w:val="0000EE"/>
            <w:u w:val="single"/>
          </w:rPr>
          <w:t>[4]</w:t>
        </w:r>
      </w:hyperlink>
      <w:r>
        <w:t xml:space="preserve">- Paragraph 3: </w:t>
      </w:r>
      <w:hyperlink r:id="rId9">
        <w:r>
          <w:rPr>
            <w:color w:val="0000EE"/>
            <w:u w:val="single"/>
          </w:rPr>
          <w:t>[5]</w:t>
        </w:r>
      </w:hyperlink>
      <w:r>
        <w:t xml:space="preserve">- Paragraph 4: </w:t>
      </w:r>
      <w:hyperlink r:id="rId9">
        <w:r>
          <w:rPr>
            <w:color w:val="0000EE"/>
            <w:u w:val="single"/>
          </w:rPr>
          <w:t>[6]</w:t>
        </w:r>
      </w:hyperlink>
      <w:r>
        <w:t xml:space="preserve">- Paragraph 5: </w:t>
      </w:r>
      <w:hyperlink r:id="rId9">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https://www.washingtonblade.com/2026/05/30/time-travelers-from-aids-era/?utm_source=rss&amp;utm_medium=rss&amp;utm_campaign=time-travelers-from-aids-era</w:t>
        </w:r>
      </w:hyperlink>
      <w:r>
        <w:t xml:space="preserve"> - Please view link - unable to able to access data</w:t>
      </w:r>
      <w:r/>
    </w:p>
    <w:p>
      <w:pPr>
        <w:pStyle w:val="ListNumber"/>
        <w:spacing w:line="240" w:lineRule="auto"/>
        <w:ind w:left="720"/>
      </w:pPr>
      <w:r/>
      <w:hyperlink r:id="rId9">
        <w:r>
          <w:rPr>
            <w:color w:val="0000EE"/>
            <w:u w:val="single"/>
          </w:rPr>
          <w:t>https://www.washingtonblade.com/2026/05/30/time-travelers-from-aids-era/?utm_source=rss&amp;utm_medium=rss&amp;utm_campaign=time-travelers-from-aids-era</w:t>
        </w:r>
      </w:hyperlink>
      <w:r>
        <w:t xml:space="preserve"> - An article reflecting on the author's early activism, highlighting mentorship from Congressman Barney Frank, including their 1992 trip to Russia to discuss the decriminalisation of homosexuality, and the 1994 asylum case of Marcelo Tenorio, which led to a precedent-setting Attorney General memo recognising LGBTQ individuals as a particular social group eligible for asylum.</w:t>
      </w:r>
      <w:r/>
    </w:p>
    <w:p>
      <w:pPr>
        <w:pStyle w:val="ListNumber"/>
        <w:spacing w:line="240" w:lineRule="auto"/>
        <w:ind w:left="720"/>
      </w:pPr>
      <w:r/>
      <w:hyperlink r:id="rId9">
        <w:r>
          <w:rPr>
            <w:color w:val="0000EE"/>
            <w:u w:val="single"/>
          </w:rPr>
          <w:t>https://www.washingtonblade.com/2026/05/30/time-travelers-from-aids-era/?utm_source=rss&amp;utm_medium=rss&amp;utm_campaign=time-travelers-from-aids-era</w:t>
        </w:r>
      </w:hyperlink>
      <w:r>
        <w:t xml:space="preserve"> - An article reflecting on the author's early activism, highlighting mentorship from Congressman Barney Frank, including their 1992 trip to Russia to discuss the decriminalisation of homosexuality, and the 1994 asylum case of Marcelo Tenorio, which led to a precedent-setting Attorney General memo recognising LGBTQ individuals as a particular social group eligible for asylum.</w:t>
      </w:r>
      <w:r/>
    </w:p>
    <w:p>
      <w:pPr>
        <w:pStyle w:val="ListNumber"/>
        <w:spacing w:line="240" w:lineRule="auto"/>
        <w:ind w:left="720"/>
      </w:pPr>
      <w:r/>
      <w:hyperlink r:id="rId9">
        <w:r>
          <w:rPr>
            <w:color w:val="0000EE"/>
            <w:u w:val="single"/>
          </w:rPr>
          <w:t>https://www.washingtonblade.com/2026/05/30/time-travelers-from-aids-era/?utm_source=rss&amp;utm_medium=rss&amp;utm_campaign=time-travelers-from-aids-era</w:t>
        </w:r>
      </w:hyperlink>
      <w:r>
        <w:t xml:space="preserve"> - An article reflecting on the author's early activism, highlighting mentorship from Congressman Barney Frank, including their 1992 trip to Russia to discuss the decriminalisation of homosexuality, and the 1994 asylum case of Marcelo Tenorio, which led to a precedent-setting Attorney General memo recognising LGBTQ individuals as a particular social group eligible for asylum.</w:t>
      </w:r>
      <w:r/>
    </w:p>
    <w:p>
      <w:pPr>
        <w:pStyle w:val="ListNumber"/>
        <w:spacing w:line="240" w:lineRule="auto"/>
        <w:ind w:left="720"/>
      </w:pPr>
      <w:r/>
      <w:hyperlink r:id="rId9">
        <w:r>
          <w:rPr>
            <w:color w:val="0000EE"/>
            <w:u w:val="single"/>
          </w:rPr>
          <w:t>https://www.washingtonblade.com/2026/05/30/time-travelers-from-aids-era/?utm_source=rss&amp;utm_medium=rss&amp;utm_campaign=time-travelers-from-aids-era</w:t>
        </w:r>
      </w:hyperlink>
      <w:r>
        <w:t xml:space="preserve"> - An article reflecting on the author's early activism, highlighting mentorship from Congressman Barney Frank, including their 1992 trip to Russia to discuss the decriminalisation of homosexuality, and the 1994 asylum case of Marcelo Tenorio, which led to a precedent-setting Attorney General memo recognising LGBTQ individuals as a particular social group eligible for asylum.</w:t>
      </w:r>
      <w:r/>
    </w:p>
    <w:p>
      <w:pPr>
        <w:pStyle w:val="ListNumber"/>
        <w:spacing w:line="240" w:lineRule="auto"/>
        <w:ind w:left="720"/>
      </w:pPr>
      <w:r/>
      <w:hyperlink r:id="rId9">
        <w:r>
          <w:rPr>
            <w:color w:val="0000EE"/>
            <w:u w:val="single"/>
          </w:rPr>
          <w:t>https://www.washingtonblade.com/2026/05/30/time-travelers-from-aids-era/?utm_source=rss&amp;utm_medium=rss&amp;utm_campaign=time-travelers-from-aids-era</w:t>
        </w:r>
      </w:hyperlink>
      <w:r>
        <w:t xml:space="preserve"> - An article reflecting on the author's early activism, highlighting mentorship from Congressman Barney Frank, including their 1992 trip to Russia to discuss the decriminalisation of homosexuality, and the 1994 asylum case of Marcelo Tenorio, which led to a precedent-setting Attorney General memo recognising LGBTQ individuals as a particular social group eligible for asylum.</w:t>
      </w:r>
      <w:r/>
    </w:p>
    <w:p>
      <w:pPr>
        <w:pStyle w:val="ListNumber"/>
        <w:spacing w:line="240" w:lineRule="auto"/>
        <w:ind w:left="720"/>
      </w:pPr>
      <w:r/>
      <w:hyperlink r:id="rId9">
        <w:r>
          <w:rPr>
            <w:color w:val="0000EE"/>
            <w:u w:val="single"/>
          </w:rPr>
          <w:t>https://www.washingtonblade.com/2026/05/30/time-travelers-from-aids-era/?utm_source=rss&amp;utm_medium=rss&amp;utm_campaign=time-travelers-from-aids-era</w:t>
        </w:r>
      </w:hyperlink>
      <w:r>
        <w:t xml:space="preserve"> - An article reflecting on the author's early activism, highlighting mentorship from Congressman Barney Frank, including their 1992 trip to Russia to discuss the decriminalisation of homosexuality, and the 1994 asylum case of Marcelo Tenorio, which led to a precedent-setting Attorney General memo recognising LGBTQ individuals as a particular social group eligible for asylum.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ashingtonblade.com/2026/05/30/time-travelers-from-aids-era/?utm_source=rss&amp;utm_medium=rss&amp;utm_campaign=time-travelers-from-aids-er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