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Best Legal Steps for LGBT Couples Navigating Family Law in Australia</w:t>
      </w:r>
      <w:r/>
    </w:p>
    <w:p>
      <w:r/>
      <w:r/>
    </w:p>
    <w:p>
      <w:r>
        <w:drawing>
          <wp:inline xmlns:a="http://schemas.openxmlformats.org/drawingml/2006/main" xmlns:pic="http://schemas.openxmlformats.org/drawingml/2006/picture">
            <wp:extent cx="5080000" cy="3408101"/>
            <wp:docPr id="1" name="Picture 1"/>
            <wp:cNvGraphicFramePr>
              <a:graphicFrameLocks noChangeAspect="1"/>
            </wp:cNvGraphicFramePr>
            <a:graphic>
              <a:graphicData uri="http://schemas.openxmlformats.org/drawingml/2006/picture">
                <pic:pic>
                  <pic:nvPicPr>
                    <pic:cNvPr id="0" name="image.jpg"/>
                    <pic:cNvPicPr/>
                  </pic:nvPicPr>
                  <pic:blipFill>
                    <a:blip r:embed="rId8"/>
                    <a:stretch>
                      <a:fillRect/>
                    </a:stretch>
                  </pic:blipFill>
                  <pic:spPr>
                    <a:xfrm>
                      <a:off x="0" y="0"/>
                      <a:ext cx="5080000" cy="3408101"/>
                    </a:xfrm>
                    <a:prstGeom prst="rect"/>
                  </pic:spPr>
                </pic:pic>
              </a:graphicData>
            </a:graphic>
          </wp:inline>
        </w:drawing>
      </w:r>
    </w:p>
    <w:p>
      <w:r/>
      <w:r>
        <w:rPr>
          <w:b/>
        </w:rPr>
        <w:t>Shoppers of information and couples planning lives together are turning to clearer legal planning; LGBT couples in Australia still face practical gaps in family law despite marriage equality, so knowing your rights around property and parenting matters more than ever.</w:t>
      </w:r>
      <w:r/>
    </w:p>
    <w:p>
      <w:r/>
      <w:r>
        <w:t>Essential Takeaways</w:t>
      </w:r>
      <w:r/>
      <w:r/>
    </w:p>
    <w:p>
      <w:pPr>
        <w:pStyle w:val="ListBullet"/>
        <w:spacing w:line="240" w:lineRule="auto"/>
        <w:ind w:left="720"/>
      </w:pPr>
      <w:r/>
      <w:r>
        <w:rPr>
          <w:b/>
        </w:rPr>
        <w:t>De facto rights:</w:t>
      </w:r>
      <w:r>
        <w:t xml:space="preserve"> Couples living together who meet time or contribution tests can have similar property and maintenance rights to married couples, but proving status may be stressful.</w:t>
      </w:r>
      <w:r/>
    </w:p>
    <w:p>
      <w:pPr>
        <w:pStyle w:val="ListBullet"/>
        <w:spacing w:line="240" w:lineRule="auto"/>
        <w:ind w:left="720"/>
      </w:pPr>
      <w:r/>
      <w:r>
        <w:rPr>
          <w:b/>
        </w:rPr>
        <w:t>Financial clarity helps:</w:t>
      </w:r>
      <w:r>
        <w:t xml:space="preserve"> Cohabitation or financial agreements (prenups) offer predictability and can cut down on costly court battles.</w:t>
      </w:r>
      <w:r/>
    </w:p>
    <w:p>
      <w:pPr>
        <w:pStyle w:val="ListBullet"/>
        <w:spacing w:line="240" w:lineRule="auto"/>
        <w:ind w:left="720"/>
      </w:pPr>
      <w:r/>
      <w:r>
        <w:rPr>
          <w:b/>
        </w:rPr>
        <w:t>Parenting is complex:</w:t>
      </w:r>
      <w:r>
        <w:t xml:space="preserve"> Surrogacy, assisted reproduction and multi‑parent families can leave gaps in legal parentage and decision‑making.</w:t>
      </w:r>
      <w:r/>
    </w:p>
    <w:p>
      <w:pPr>
        <w:pStyle w:val="ListBullet"/>
        <w:spacing w:line="240" w:lineRule="auto"/>
        <w:ind w:left="720"/>
      </w:pPr>
      <w:r/>
      <w:r>
        <w:rPr>
          <w:b/>
        </w:rPr>
        <w:t>Education matters:</w:t>
      </w:r>
      <w:r>
        <w:t xml:space="preserve"> Many issues stem from misunderstandings; early legal advice keeps messy disputes at bay.</w:t>
      </w:r>
      <w:r/>
    </w:p>
    <w:p>
      <w:pPr>
        <w:pStyle w:val="ListBullet"/>
        <w:spacing w:line="240" w:lineRule="auto"/>
        <w:ind w:left="720"/>
      </w:pPr>
      <w:r/>
      <w:r>
        <w:rPr>
          <w:b/>
        </w:rPr>
        <w:t>Legislation lags:</w:t>
      </w:r>
      <w:r>
        <w:t xml:space="preserve"> Laws were built on traditional family models and need updating to reflect modern, diverse family arrangements.</w:t>
      </w:r>
      <w:r/>
      <w:r/>
    </w:p>
    <w:p>
      <w:pPr>
        <w:pStyle w:val="Heading2"/>
      </w:pPr>
      <w:r>
        <w:t>Marriage equality was only the starting line</w:t>
      </w:r>
      <w:r/>
    </w:p>
    <w:p>
      <w:r/>
      <w:r>
        <w:t>Nearly a decade after Australia said yes to same‑sex marriage, the law still feels a step behind for many couples, especially when things get difficult or children are involved. The emotional relief of being able to marry is palpable, but in practical terms family law was historically written around opposite‑sex couples and the two‑parent assumption. That mismatch pops up most clearly when relationships end and people are left proving contributions, status or parental responsibility. According to Amnesty Australia and advocacy groups, clarity about de facto rights exists on paper, but confusion persists in practice.</w:t>
      </w:r>
      <w:r/>
    </w:p>
    <w:p>
      <w:pPr>
        <w:pStyle w:val="Heading2"/>
      </w:pPr>
      <w:r>
        <w:t>De facto status can protect you , but don’t assume it's automatic</w:t>
      </w:r>
      <w:r/>
    </w:p>
    <w:p>
      <w:r/>
      <w:r>
        <w:t>Australian rules treat long‑term cohabiting couples similarly to married couples for property settlement and spousal maintenance, provided you meet certain time or contribution tests. That sounds simple, but disputes often hinge on whether the relationship met legal thresholds, who contributed what, and when assets were acquired. Legal resources from state services and advocacy bodies outline the tests, yet couples who assume protection without documentation risk lengthy, stressful proceedings. A practical tip: keep records of shared bills, timelines, and contributions , they make a real difference if the relationship breaks down.</w:t>
      </w:r>
      <w:r/>
    </w:p>
    <w:p>
      <w:pPr>
        <w:pStyle w:val="Heading2"/>
      </w:pPr>
      <w:r>
        <w:t>Why financial agreements are the grown‑up, practical romance</w:t>
      </w:r>
      <w:r/>
    </w:p>
    <w:p>
      <w:r/>
      <w:r>
        <w:t>Financial agreements , often called prenups or binding financial agreements , let couples set expectations early, mapping out how property and liabilities will be divided if things change. Far from being unromantic, these documents give both partners certainty and can protect business interests, inherited assets, or arrangements involving children from previous relationships. Human Rights reports and family law guidance suggest these agreements reduce reliance on courts. If you or your partner bring significant assets into the relationship, talk to a specialist family lawyer and get an agreement that’s tailored to your circumstances.</w:t>
      </w:r>
      <w:r/>
    </w:p>
    <w:p>
      <w:pPr>
        <w:pStyle w:val="Heading2"/>
      </w:pPr>
      <w:r>
        <w:t>Parenting beyond two parents needs foresight</w:t>
      </w:r>
      <w:r/>
    </w:p>
    <w:p>
      <w:r/>
      <w:r>
        <w:t>Families formed via assisted reproduction, surrogacy, or blended parenting setups can be richly supportive, but the law still often assumes two legal parents. That creates problems with parentage, guardianship and even citizenship when donors or surrogates are involved, especially across borders. Government and legal‑aid resources flag that careful, early planning , such as parentage orders, parenting agreements and clear legal counsel before and after a child’s birth , helps protect children’s best interests and avoids uncertainty if relationships change. If you’re using a surrogate or international arrangements, get legal advice from day one.</w:t>
      </w:r>
      <w:r/>
    </w:p>
    <w:p>
      <w:pPr>
        <w:pStyle w:val="Heading2"/>
      </w:pPr>
      <w:r>
        <w:t>Education, lawyers and laws need to catch up together</w:t>
      </w:r>
      <w:r/>
    </w:p>
    <w:p>
      <w:r/>
      <w:r>
        <w:t>Many of the practical problems LGB couples face are less about a lack of rights and more about awareness and legislative detail. Advocates and human rights bodies point to the need for plain‑English guidance and reforms that reflect diverse family forms. Family lawyers are vital here: they translate the law into real steps , from cohabitation agreements to parenting orders , and can steer couples away from assumptions that lead to painful disputes. Looking ahead, law reform that explicitly recognises multi‑parent families and clarifies cross‑jurisdictional surrogacy would close the gaps marriage equality revealed.</w:t>
      </w:r>
      <w:r/>
    </w:p>
    <w:p>
      <w:r/>
      <w:r>
        <w:t>It's a small change that can make every relationship and family more secure: plan early, get proper advice, and don’t assume marriage alone fixes every legal question.</w:t>
      </w:r>
      <w:r/>
    </w:p>
    <w:p>
      <w:pPr>
        <w:pStyle w:val="Heading3"/>
      </w:pPr>
      <w:r>
        <w:t>Source Reference Map</w:t>
      </w:r>
      <w:r/>
    </w:p>
    <w:p>
      <w:r/>
      <w:r>
        <w:rPr>
          <w:b/>
        </w:rPr>
        <w:t>Story idea inspired by:</w:t>
      </w:r>
      <w:r>
        <w:t xml:space="preserve"> </w:t>
      </w:r>
      <w:hyperlink r:id="rId9">
        <w:r>
          <w:rPr>
            <w:color w:val="0000EE"/>
            <w:u w:val="single"/>
          </w:rPr>
          <w:t>[1]</w:t>
        </w:r>
      </w:hyperlink>
      <w:r/>
    </w:p>
    <w:p>
      <w:r/>
      <w:r>
        <w:rPr>
          <w:b/>
        </w:rPr>
        <w:t>Sources by paragraph:</w:t>
      </w:r>
      <w:r>
        <w:t xml:space="preserve">- Paragraph 1: </w:t>
      </w:r>
      <w:hyperlink r:id="rId10">
        <w:r>
          <w:rPr>
            <w:color w:val="0000EE"/>
            <w:u w:val="single"/>
          </w:rPr>
          <w:t>[2]</w:t>
        </w:r>
      </w:hyperlink>
      <w:r>
        <w:t xml:space="preserve">, </w:t>
      </w:r>
      <w:hyperlink r:id="rId11">
        <w:r>
          <w:rPr>
            <w:color w:val="0000EE"/>
            <w:u w:val="single"/>
          </w:rPr>
          <w:t>[3]</w:t>
        </w:r>
      </w:hyperlink>
      <w:r>
        <w:t xml:space="preserve">- Paragraph 2: </w:t>
      </w:r>
      <w:hyperlink r:id="rId12">
        <w:r>
          <w:rPr>
            <w:color w:val="0000EE"/>
            <w:u w:val="single"/>
          </w:rPr>
          <w:t>[6]</w:t>
        </w:r>
      </w:hyperlink>
      <w:r>
        <w:t xml:space="preserve">, </w:t>
      </w:r>
      <w:hyperlink r:id="rId13">
        <w:r>
          <w:rPr>
            <w:color w:val="0000EE"/>
            <w:u w:val="single"/>
          </w:rPr>
          <w:t>[7]</w:t>
        </w:r>
      </w:hyperlink>
      <w:r>
        <w:t xml:space="preserve">- Paragraph 3: </w:t>
      </w:r>
      <w:hyperlink r:id="rId14">
        <w:r>
          <w:rPr>
            <w:color w:val="0000EE"/>
            <w:u w:val="single"/>
          </w:rPr>
          <w:t>[5]</w:t>
        </w:r>
      </w:hyperlink>
      <w:r>
        <w:t xml:space="preserve">, </w:t>
      </w:r>
      <w:hyperlink r:id="rId10">
        <w:r>
          <w:rPr>
            <w:color w:val="0000EE"/>
            <w:u w:val="single"/>
          </w:rPr>
          <w:t>[2]</w:t>
        </w:r>
      </w:hyperlink>
      <w:r>
        <w:t xml:space="preserve">- Paragraph 4: </w:t>
      </w:r>
      <w:hyperlink r:id="rId15">
        <w:r>
          <w:rPr>
            <w:color w:val="0000EE"/>
            <w:u w:val="single"/>
          </w:rPr>
          <w:t>[4]</w:t>
        </w:r>
      </w:hyperlink>
      <w:r>
        <w:t xml:space="preserve">, </w:t>
      </w:r>
      <w:hyperlink r:id="rId13">
        <w:r>
          <w:rPr>
            <w:color w:val="0000EE"/>
            <w:u w:val="single"/>
          </w:rPr>
          <w:t>[7]</w:t>
        </w:r>
      </w:hyperlink>
      <w:r>
        <w:t xml:space="preserve">- Paragraph 5: </w:t>
      </w:r>
      <w:hyperlink r:id="rId11">
        <w:r>
          <w:rPr>
            <w:color w:val="0000EE"/>
            <w:u w:val="single"/>
          </w:rPr>
          <w:t>[3]</w:t>
        </w:r>
      </w:hyperlink>
      <w:r>
        <w:t xml:space="preserve">, </w:t>
      </w:r>
      <w:hyperlink r:id="rId15">
        <w:r>
          <w:rPr>
            <w:color w:val="0000EE"/>
            <w:u w:val="single"/>
          </w:rPr>
          <w:t>[4]</w:t>
        </w:r>
      </w:hyperlink>
      <w:r/>
    </w:p>
    <w:p>
      <w:pPr>
        <w:pStyle w:val="Heading2"/>
      </w:pPr>
      <w:r>
        <w:t>Bibliography</w:t>
      </w:r>
      <w:r/>
      <w:r/>
    </w:p>
    <w:p>
      <w:pPr>
        <w:pStyle w:val="ListNumber"/>
        <w:numPr>
          <w:ilvl w:val="0"/>
          <w:numId w:val="14"/>
        </w:numPr>
        <w:spacing w:line="240" w:lineRule="auto"/>
        <w:ind w:left="720"/>
      </w:pPr>
      <w:r/>
      <w:hyperlink r:id="rId9">
        <w:r>
          <w:rPr>
            <w:color w:val="0000EE"/>
            <w:u w:val="single"/>
          </w:rPr>
          <w:t>https://www.lifestylenews.com.au/post/legal-gaps-remain-for-lgbt-families-despite-marriage-equality</w:t>
        </w:r>
      </w:hyperlink>
      <w:r>
        <w:t xml:space="preserve"> - Please view link - unable to able to access data</w:t>
      </w:r>
      <w:r/>
    </w:p>
    <w:p>
      <w:pPr>
        <w:pStyle w:val="ListNumber"/>
        <w:spacing w:line="240" w:lineRule="auto"/>
        <w:ind w:left="720"/>
      </w:pPr>
      <w:r/>
      <w:hyperlink r:id="rId10">
        <w:r>
          <w:rPr>
            <w:color w:val="0000EE"/>
            <w:u w:val="single"/>
          </w:rPr>
          <w:t>https://www.amnesty.org.au/equal-marriage-de-facto-explainer/</w:t>
        </w:r>
      </w:hyperlink>
      <w:r>
        <w:t xml:space="preserve"> - This article from Amnesty International Australia discusses the legal differences between married and de facto couples, particularly focusing on same-sex relationships. It highlights that while de facto couples may assert some rights similar to married couples, they often face significant challenges in doing so. The piece emphasizes that marriage provides a comprehensive package of rights, whereas de facto couples may need to prove the existence of their relationship, leading to additional time, expense, and emotional strain. The article underscores the need for legal reforms to ensure equality for same-sex couples.</w:t>
      </w:r>
      <w:r/>
    </w:p>
    <w:p>
      <w:pPr>
        <w:pStyle w:val="ListNumber"/>
        <w:spacing w:line="240" w:lineRule="auto"/>
        <w:ind w:left="720"/>
      </w:pPr>
      <w:r/>
      <w:hyperlink r:id="rId11">
        <w:r>
          <w:rPr>
            <w:color w:val="0000EE"/>
            <w:u w:val="single"/>
          </w:rPr>
          <w:t>https://humanrights.gov.au/resource-hub/by-resource-type/books/same-sex-same-entitlements-summary-recommendations</w:t>
        </w:r>
      </w:hyperlink>
      <w:r>
        <w:t xml:space="preserve"> - The Australian Human Rights Commission's 'Same-Sex: Same Entitlements' report examines the legal recognition and rights of same-sex couples in Australia. It discusses the definition of 'de facto relationship' and recommends legislative changes to ensure equal treatment for same-sex couples. The report suggests that the term 'de facto relationship' should encompass same-sex and opposite-sex couples alike, and proposes amendments to federal laws to remove discrimination against same-sex couples, ensuring they have the same rights and entitlements as opposite-sex couples.</w:t>
      </w:r>
      <w:r/>
    </w:p>
    <w:p>
      <w:pPr>
        <w:pStyle w:val="ListNumber"/>
        <w:spacing w:line="240" w:lineRule="auto"/>
        <w:ind w:left="720"/>
      </w:pPr>
      <w:r/>
      <w:hyperlink r:id="rId15">
        <w:r>
          <w:rPr>
            <w:color w:val="0000EE"/>
            <w:u w:val="single"/>
          </w:rPr>
          <w:t>https://humanrights.gov.au/our-work/publications/same-sex-same-entitlements-chapter-12</w:t>
        </w:r>
      </w:hyperlink>
      <w:r>
        <w:t xml:space="preserve"> - Chapter 12 of the Australian Human Rights Commission's 'Same-Sex: Same Entitlements' report addresses the challenges faced by same-sex couples in family law matters, particularly concerning property settlements and parental responsibilities. It highlights that same-sex couples cannot access the federal Family Court for property matters, unlike married couples. The chapter discusses the constitutional anomalies and the need for legislative reforms to ensure that same-sex couples have equal access to legal avenues for resolving disputes related to property and children.</w:t>
      </w:r>
      <w:r/>
    </w:p>
    <w:p>
      <w:pPr>
        <w:pStyle w:val="ListNumber"/>
        <w:spacing w:line="240" w:lineRule="auto"/>
        <w:ind w:left="720"/>
      </w:pPr>
      <w:r/>
      <w:hyperlink r:id="rId14">
        <w:r>
          <w:rPr>
            <w:color w:val="0000EE"/>
            <w:u w:val="single"/>
          </w:rPr>
          <w:t>https://www.fgd.com.au/family-law/same-sex-relationships</w:t>
        </w:r>
      </w:hyperlink>
      <w:r>
        <w:t xml:space="preserve"> - FGD Family &amp; Divorce Lawyers provide insights into the legal rights of same-sex couples in Australia. The article explains that while same-sex marriage became legal in 2017, same-sex de facto couples have rights similar to married couples in family law matters. It notes that the main difference is that de facto couples must prove the existence of their relationship before commencing property proceedings, whereas married couples can simply provide proof of marriage. The piece emphasizes the importance of understanding these distinctions for same-sex couples navigating family law issues.</w:t>
      </w:r>
      <w:r/>
    </w:p>
    <w:p>
      <w:pPr>
        <w:pStyle w:val="ListNumber"/>
        <w:spacing w:line="240" w:lineRule="auto"/>
        <w:ind w:left="720"/>
      </w:pPr>
      <w:r/>
      <w:hyperlink r:id="rId12">
        <w:r>
          <w:rPr>
            <w:color w:val="0000EE"/>
            <w:u w:val="single"/>
          </w:rPr>
          <w:t>https://www.hobartlegal.org.au/handbook/family-law/relationships/de-facto-and-same-sex-relationships/</w:t>
        </w:r>
      </w:hyperlink>
      <w:r>
        <w:t xml:space="preserve"> - The Hobart Community Legal Service discusses the legal recognition of same-sex and de facto relationships in Tasmania. It explains that under Tasmanian law, de facto relationships are termed 'Significant Relationships,' which include same-sex couples. The article outlines the rights and responsibilities of such relationships, including access to the Family Court and Federal Circuit Court for resolving disputes concerning property and children. It also highlights the importance of registering the relationship to have immediate access to these rights without needing to prove the relationship to a court.</w:t>
      </w:r>
      <w:r/>
    </w:p>
    <w:p>
      <w:pPr>
        <w:pStyle w:val="ListNumber"/>
        <w:spacing w:line="240" w:lineRule="auto"/>
        <w:ind w:left="720"/>
      </w:pPr>
      <w:r/>
      <w:hyperlink r:id="rId13">
        <w:r>
          <w:rPr>
            <w:color w:val="0000EE"/>
            <w:u w:val="single"/>
          </w:rPr>
          <w:t>https://www.legalaid.qld.gov.au/Find-legal-information/Relationships-and-children/Relationships/Defacto-same-sex-and-registered-relationships</w:t>
        </w:r>
      </w:hyperlink>
      <w:r>
        <w:t xml:space="preserve"> - Legal Aid Queensland provides information on the legal rights of same-sex and de facto couples in Queensland. The article explains that same-sex and heterosexual de facto relationships share many of the same legal rights as married couples, including rights related to property division, social security, and child support. It emphasizes the importance of seeking legal advice for issues such as property disputes, domestic violence protection orders, and discrimination. The piece also notes that same-sex married couples are recognized as married couples for the purposes of family law in Australia.</w:t>
      </w:r>
      <w:r/>
    </w:p>
    <w:sectPr w:rsidR="008F16EB" w:rsidRPr="008F16EB" w:rsidSect="000346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hAnsi="Georgia" w:cs="Georgia"/>
        <w:sz w:val="22"/>
        <w:szCs w:val="22"/>
        <w:lang w:val="en-US"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240" w:after="160" w:line="240" w:lineRule="auto"/>
      <w:outlineLvl w:val="0"/>
    </w:pPr>
    <w:rPr>
      <w:rFonts w:ascii="Georgia" w:hAnsi="Georgia" w:cs="Georgia"/>
      <w:b/>
      <w:bCs/>
      <w:color w:val="1C1917"/>
      <w:sz w:val="52"/>
      <w:szCs w:val="52"/>
      <w:w w:val="90"/>
    </w:rPr>
  </w:style>
  <w:style w:type="paragraph" w:styleId="Heading2">
    <w:name w:val="heading 2"/>
    <w:basedOn w:val="Normal"/>
    <w:next w:val="Normal"/>
    <w:link w:val="Heading2Char"/>
    <w:uiPriority w:val="9"/>
    <w:unhideWhenUsed/>
    <w:qFormat/>
    <w:rsid w:val="00641096"/>
    <w:pPr>
      <w:keepNext/>
      <w:keepLines/>
      <w:spacing w:before="400" w:after="120"/>
      <w:outlineLvl w:val="1"/>
    </w:pPr>
    <w:rPr>
      <w:rFonts w:ascii="Georgia" w:hAnsi="Georgia" w:cs="Georgia"/>
      <w:b/>
      <w:bCs/>
      <w:color w:val="1C1917"/>
      <w:sz w:val="36"/>
      <w:szCs w:val="36"/>
      <w:w w:val="90"/>
    </w:rPr>
  </w:style>
  <w:style w:type="paragraph" w:styleId="Heading3">
    <w:name w:val="heading 3"/>
    <w:basedOn w:val="Normal"/>
    <w:next w:val="Normal"/>
    <w:link w:val="Heading3Char"/>
    <w:uiPriority w:val="9"/>
    <w:unhideWhenUsed/>
    <w:qFormat/>
    <w:rsid w:val="00641096"/>
    <w:pPr>
      <w:keepNext/>
      <w:keepLines/>
      <w:spacing w:before="320" w:after="80"/>
      <w:outlineLvl w:val="2"/>
    </w:pPr>
    <w:rPr>
      <w:rFonts w:ascii="Georgia" w:hAnsi="Georgia" w:cs="Georgia"/>
      <w:b/>
      <w:bCs/>
      <w:color w:val="374151"/>
      <w:sz w:val="28"/>
      <w:szCs w:val="28"/>
      <w:w w:val="90"/>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jpg"/><Relationship Id="rId9" Type="http://schemas.openxmlformats.org/officeDocument/2006/relationships/hyperlink" Target="https://www.lifestylenews.com.au/post/legal-gaps-remain-for-lgbt-families-despite-marriage-equality" TargetMode="External"/><Relationship Id="rId10" Type="http://schemas.openxmlformats.org/officeDocument/2006/relationships/hyperlink" Target="https://www.amnesty.org.au/equal-marriage-de-facto-explainer/" TargetMode="External"/><Relationship Id="rId11" Type="http://schemas.openxmlformats.org/officeDocument/2006/relationships/hyperlink" Target="https://humanrights.gov.au/resource-hub/by-resource-type/books/same-sex-same-entitlements-summary-recommendations" TargetMode="External"/><Relationship Id="rId12" Type="http://schemas.openxmlformats.org/officeDocument/2006/relationships/hyperlink" Target="https://www.hobartlegal.org.au/handbook/family-law/relationships/de-facto-and-same-sex-relationships/" TargetMode="External"/><Relationship Id="rId13" Type="http://schemas.openxmlformats.org/officeDocument/2006/relationships/hyperlink" Target="https://www.legalaid.qld.gov.au/Find-legal-information/Relationships-and-children/Relationships/Defacto-same-sex-and-registered-relationships" TargetMode="External"/><Relationship Id="rId14" Type="http://schemas.openxmlformats.org/officeDocument/2006/relationships/hyperlink" Target="https://www.fgd.com.au/family-law/same-sex-relationships" TargetMode="External"/><Relationship Id="rId15" Type="http://schemas.openxmlformats.org/officeDocument/2006/relationships/hyperlink" Target="https://humanrights.gov.au/our-work/publications/same-sex-same-entitlements-chapter-1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chemas.openxmlformats.org/officeDocument/2006/relationships/officeDocument"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