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 How 2026 Lawsuits Are Reshaping Gender‑Affirming Care Standards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closely: recent malpractice verdicts and appeals are forcing clinicians, patients, and hospitals to rethink how gender‑affirming care is offered, who gets surgery when, and what informed consent really means , because lives and livelihoods are on the line.</w:t>
      </w:r>
      <w:r/>
    </w:p>
    <w:p>
      <w:r/>
      <w:r>
        <w:t>Essential Takeaways</w:t>
      </w:r>
      <w:r/>
      <w:r/>
    </w:p>
    <w:p>
      <w:pPr>
        <w:pStyle w:val="ListBullet"/>
        <w:spacing w:line="240" w:lineRule="auto"/>
        <w:ind w:left="720"/>
      </w:pPr>
      <w:r/>
      <w:r>
        <w:rPr>
          <w:b/>
        </w:rPr>
        <w:t>High‑stakes rulings:</w:t>
      </w:r>
      <w:r>
        <w:t xml:space="preserve"> A 2026 New York jury awarded $2m over a teen’s double mastectomy, spotlighting consent and diagnostic lapses.</w:t>
      </w:r>
      <w:r/>
    </w:p>
    <w:p>
      <w:pPr>
        <w:pStyle w:val="ListBullet"/>
        <w:spacing w:line="240" w:lineRule="auto"/>
        <w:ind w:left="720"/>
      </w:pPr>
      <w:r/>
      <w:r>
        <w:rPr>
          <w:b/>
        </w:rPr>
        <w:t>Timing matters:</w:t>
      </w:r>
      <w:r>
        <w:t xml:space="preserve"> A North Carolina malpractice suit hinged on statutes of limitation and whether clinicians followed accepted WPATH standards.</w:t>
      </w:r>
      <w:r/>
    </w:p>
    <w:p>
      <w:pPr>
        <w:pStyle w:val="ListBullet"/>
        <w:spacing w:line="240" w:lineRule="auto"/>
        <w:ind w:left="720"/>
      </w:pPr>
      <w:r/>
      <w:r>
        <w:rPr>
          <w:b/>
        </w:rPr>
        <w:t>Diagnosis is crucial:</w:t>
      </w:r>
      <w:r>
        <w:t xml:space="preserve"> Surgeries are contraindicated in body dysmorphic disorder; mislabelled records can look like negligence.</w:t>
      </w:r>
      <w:r/>
    </w:p>
    <w:p>
      <w:pPr>
        <w:pStyle w:val="ListBullet"/>
        <w:spacing w:line="240" w:lineRule="auto"/>
        <w:ind w:left="720"/>
      </w:pPr>
      <w:r/>
      <w:r>
        <w:rPr>
          <w:b/>
        </w:rPr>
        <w:t>Professional fallout:</w:t>
      </w:r>
      <w:r>
        <w:t xml:space="preserve"> Major medical societies have issued cautious guidance on youth surgery; practice norms are shifting.</w:t>
      </w:r>
      <w:r/>
    </w:p>
    <w:p>
      <w:pPr>
        <w:pStyle w:val="ListBullet"/>
        <w:spacing w:line="240" w:lineRule="auto"/>
        <w:ind w:left="720"/>
      </w:pPr>
      <w:r/>
      <w:r>
        <w:rPr>
          <w:b/>
        </w:rPr>
        <w:t>Research context:</w:t>
      </w:r>
      <w:r>
        <w:t xml:space="preserve"> Broader trends of stretching limited evidence , from GLP‑1s to surgeries , underline the need for solid trials and honest counselling.</w:t>
      </w:r>
      <w:r/>
      <w:r/>
    </w:p>
    <w:p>
      <w:pPr>
        <w:pStyle w:val="Heading2"/>
      </w:pPr>
      <w:r>
        <w:t>Why one jury verdict sent a shockwave through clinics</w:t>
      </w:r>
      <w:r/>
    </w:p>
    <w:p>
      <w:r/>
      <w:r>
        <w:t>A single six‑figure jury award can change how surgeons and therapists practise, and this New York case did just that. The patient was a teenager who later said her double mastectomy left her disfigured and that clinicians had missed or misrepresented red flags. According to reporting, the psychologist used a diagnosis that should have stopped surgery , body dysmorphic disorder , yet the operation went ahead. That mismatch is what juries and prosecutors tend to pick apart, because it looks like a preventable error rather than an unpredictable outcome. The emotional detail here matters: families said they felt pressured, and the risk‑of‑suicide argument was reportedly invoked in discussions. For clinicians, the practical lesson is simple: document assessments, coordinate care, and never let billing convenience trump clinical clarity. Expect hospitals and insurers to tighten pre‑op checks and for surgeons to demand thorough psychological clearance before taking on young patients.</w:t>
      </w:r>
      <w:r/>
    </w:p>
    <w:p>
      <w:pPr>
        <w:pStyle w:val="Heading2"/>
      </w:pPr>
      <w:r>
        <w:t>A North Carolina suit shows how timing and standards interact</w:t>
      </w:r>
      <w:r/>
    </w:p>
    <w:p>
      <w:r/>
      <w:r>
        <w:t>Not all malpractice claims stick, and procedure matters. In one earlier case a patient who’d transitioned claimed the team had portrayed transition as a cure; courts initially dismissed the claim for timing, then reopened it when the law changed about filing windows. Those clinicians, however, had followed WPATH guidance and their case was ultimately dismissed. That contrast underlines a point reporters keep circling back to: adherence to recognised standards often protects clinicians, while deviations or sloppy records expose them. For patients and families, this means paying attention to whether local providers use established protocols, and asking for copies of assessments and referrals. For clinicians, it means keeping processes tight and contemporaneous , and being ready to justify decisions in court.</w:t>
      </w:r>
      <w:r/>
    </w:p>
    <w:p>
      <w:pPr>
        <w:pStyle w:val="Heading2"/>
      </w:pPr>
      <w:r>
        <w:t>Diagnosis, consent and the danger of convenient paperwork</w:t>
      </w:r>
      <w:r/>
    </w:p>
    <w:p>
      <w:r/>
      <w:r>
        <w:t>This series makes one thing painfully clear: diagnostic shortcuts can be career‑ending. The psychologist in the New York case later said the body dysmorphic diagnosis was used for insurance billing. If true, that looks like a deliberate misrepresentation , and courts punish that. Clinicians often change codes to get treatments approved; it's common in many fields. But when outcomes go wrong, those changes look less like paperwork and more like negligence. Surgeons report threats and even violence when patients with unrecognised body‑image pathology undergo procedures and remain unsatisfied. Practical tip: insist on multidisciplinary review for adolescents, document the rationale for each diagnostic decision, and resist the temptation to “massage” records to fit insurance rules.</w:t>
      </w:r>
      <w:r/>
    </w:p>
    <w:p>
      <w:pPr>
        <w:pStyle w:val="Heading2"/>
      </w:pPr>
      <w:r>
        <w:t>How professional bodies and hospitals are reacting</w:t>
      </w:r>
      <w:r/>
    </w:p>
    <w:p>
      <w:r/>
      <w:r>
        <w:t>After the verdict, major organisations moved quickly. Some societies recommended against chest, genital, and facial surgeries in people under 19, citing limited evidence on safety and long‑term benefits. WPATH has emphasised that the ruling targeted clinician conduct, not gender‑affirming care itself, but professional caution will likely translate into more conservative practice. The AMA and others already signalled similar worries about inadequate evidence for youth surgery. That doesn't mean care stops. Rather, expect longer evaluation periods, more robust informed consent, and heightened requirements for mental‑health clearance , and for some patients, that will feel like overdue protection.</w:t>
      </w:r>
      <w:r/>
    </w:p>
    <w:p>
      <w:pPr>
        <w:pStyle w:val="Heading2"/>
      </w:pPr>
      <w:r>
        <w:t>Broader context: when promising treatments outpace the evidence</w:t>
      </w:r>
      <w:r/>
    </w:p>
    <w:p>
      <w:r/>
      <w:r>
        <w:t>This podcast episode also links a wider trend: clinicians and patients sometimes extend early, modest benefits into grand claims. The hosts contrasted this with GLP‑1 drugs, where trials showed small well‑being gains but no clear antidepressant effect in depressed cohorts. The parallel is worth noting: whether hormones, surgery, weight‑loss drugs, or exercise, benefits can be real yet limited. When those limits aren’t communicated clearly, disappointment and legal trouble follow. For patients: ask for data and realistic outcomes. For clinicians: be candid about uncertainty and track outcomes systematically so future care rests on evidence rather than hope.</w:t>
      </w:r>
      <w:r/>
    </w:p>
    <w:p>
      <w:r/>
      <w:r>
        <w:t>It's a small change in process that can prevent huge harm , better documentation, longer assessment, and honest discussion go a long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[6]</w:t>
        </w:r>
      </w:hyperlink>
      <w:r>
        <w:t xml:space="preserve">- Paragraph 4: </w:t>
      </w:r>
      <w:hyperlink r:id="rId9">
        <w:r>
          <w:rPr>
            <w:color w:val="0000EE"/>
            <w:u w:val="single"/>
          </w:rPr>
          <w:t>[3]</w:t>
        </w:r>
      </w:hyperlink>
      <w:r>
        <w:t xml:space="preserve">, </w:t>
      </w:r>
      <w:hyperlink r:id="rId9">
        <w:r>
          <w:rPr>
            <w:color w:val="0000EE"/>
            <w:u w:val="single"/>
          </w:rPr>
          <w:t>[7]</w:t>
        </w:r>
      </w:hyperlink>
      <w:r>
        <w:t xml:space="preserve">- Paragraph 5: </w:t>
      </w:r>
      <w:hyperlink r:id="rId9">
        <w:r>
          <w:rPr>
            <w:color w:val="0000EE"/>
            <w:u w:val="single"/>
          </w:rPr>
          <w:t>[2]</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https://www.thecarlatreport.com/blogs/2-the-carlat-psychiatry-podcast/post/6262-gender-affirming-care-in-exile-the-lawsuits</w:t>
        </w:r>
      </w:hyperlink>
      <w:r>
        <w:t xml:space="preserve"> - Please view link - unable to able to access data</w:t>
      </w:r>
      <w:r/>
    </w:p>
    <w:p>
      <w:pPr>
        <w:pStyle w:val="ListNumber"/>
        <w:spacing w:line="240" w:lineRule="auto"/>
        <w:ind w:left="720"/>
      </w:pPr>
      <w:r/>
      <w:hyperlink r:id="rId9">
        <w:r>
          <w:rPr>
            <w:color w:val="0000EE"/>
            <w:u w:val="single"/>
          </w:rPr>
          <w:t>https://www.thecarlatreport.com/blogs/2-the-carlat-psychiatry-podcast/post/6262-gender-affirming-care-in-exile-the-lawsuits</w:t>
        </w:r>
      </w:hyperlink>
      <w:r>
        <w:t xml:space="preserve"> - This article discusses recent lawsuits challenging gender-affirming care, focusing on cases where patients who regret their transitions are suing therapists and surgeons. It highlights a $2 million malpractice case and examines how these legal actions are influencing standards of care. The piece also touches on the broader controversy surrounding gender-affirming treatments, including legislative efforts to restrict such care and the impact on medical professionals involved in these procedures.</w:t>
      </w:r>
      <w:r/>
    </w:p>
    <w:p>
      <w:pPr>
        <w:pStyle w:val="ListNumber"/>
        <w:spacing w:line="240" w:lineRule="auto"/>
        <w:ind w:left="720"/>
      </w:pPr>
      <w:r/>
      <w:hyperlink r:id="rId9">
        <w:r>
          <w:rPr>
            <w:color w:val="0000EE"/>
            <w:u w:val="single"/>
          </w:rPr>
          <w:t>https://www.thecarlatreport.com/blogs/2-the-carlat-psychiatry-podcast/post/6262-gender-affirming-care-in-exile-the-lawsuits</w:t>
        </w:r>
      </w:hyperlink>
      <w:r>
        <w:t xml:space="preserve"> - This article discusses recent lawsuits challenging gender-affirming care, focusing on cases where patients who regret their transitions are suing therapists and surgeons. It highlights a $2 million malpractice case and examines how these legal actions are influencing standards of care. The piece also touches on the broader controversy surrounding gender-affirming treatments, including legislative efforts to restrict such care and the impact on medical professionals involved in these procedures.</w:t>
      </w:r>
      <w:r/>
    </w:p>
    <w:p>
      <w:pPr>
        <w:pStyle w:val="ListNumber"/>
        <w:spacing w:line="240" w:lineRule="auto"/>
        <w:ind w:left="720"/>
      </w:pPr>
      <w:r/>
      <w:hyperlink r:id="rId9">
        <w:r>
          <w:rPr>
            <w:color w:val="0000EE"/>
            <w:u w:val="single"/>
          </w:rPr>
          <w:t>https://www.thecarlatreport.com/blogs/2-the-carlat-psychiatry-podcast/post/6262-gender-affirming-care-in-exile-the-lawsuits</w:t>
        </w:r>
      </w:hyperlink>
      <w:r>
        <w:t xml:space="preserve"> - This article discusses recent lawsuits challenging gender-affirming care, focusing on cases where patients who regret their transitions are suing therapists and surgeons. It highlights a $2 million malpractice case and examines how these legal actions are influencing standards of care. The piece also touches on the broader controversy surrounding gender-affirming treatments, including legislative efforts to restrict such care and the impact on medical professionals involved in these procedures.</w:t>
      </w:r>
      <w:r/>
    </w:p>
    <w:p>
      <w:pPr>
        <w:pStyle w:val="ListNumber"/>
        <w:spacing w:line="240" w:lineRule="auto"/>
        <w:ind w:left="720"/>
      </w:pPr>
      <w:r/>
      <w:hyperlink r:id="rId9">
        <w:r>
          <w:rPr>
            <w:color w:val="0000EE"/>
            <w:u w:val="single"/>
          </w:rPr>
          <w:t>https://www.thecarlatreport.com/blogs/2-the-carlat-psychiatry-podcast/post/6262-gender-affirming-care-in-exile-the-lawsuits</w:t>
        </w:r>
      </w:hyperlink>
      <w:r>
        <w:t xml:space="preserve"> - This article discusses recent lawsuits challenging gender-affirming care, focusing on cases where patients who regret their transitions are suing therapists and surgeons. It highlights a $2 million malpractice case and examines how these legal actions are influencing standards of care. The piece also touches on the broader controversy surrounding gender-affirming treatments, including legislative efforts to restrict such care and the impact on medical professionals involved in these procedures.</w:t>
      </w:r>
      <w:r/>
    </w:p>
    <w:p>
      <w:pPr>
        <w:pStyle w:val="ListNumber"/>
        <w:spacing w:line="240" w:lineRule="auto"/>
        <w:ind w:left="720"/>
      </w:pPr>
      <w:r/>
      <w:hyperlink r:id="rId9">
        <w:r>
          <w:rPr>
            <w:color w:val="0000EE"/>
            <w:u w:val="single"/>
          </w:rPr>
          <w:t>https://www.thecarlatreport.com/blogs/2-the-carlat-psychiatry-podcast/post/6262-gender-affirming-care-in-exile-the-lawsuits</w:t>
        </w:r>
      </w:hyperlink>
      <w:r>
        <w:t xml:space="preserve"> - This article discusses recent lawsuits challenging gender-affirming care, focusing on cases where patients who regret their transitions are suing therapists and surgeons. It highlights a $2 million malpractice case and examines how these legal actions are influencing standards of care. The piece also touches on the broader controversy surrounding gender-affirming treatments, including legislative efforts to restrict such care and the impact on medical professionals involved in these procedures.</w:t>
      </w:r>
      <w:r/>
    </w:p>
    <w:p>
      <w:pPr>
        <w:pStyle w:val="ListNumber"/>
        <w:spacing w:line="240" w:lineRule="auto"/>
        <w:ind w:left="720"/>
      </w:pPr>
      <w:r/>
      <w:hyperlink r:id="rId9">
        <w:r>
          <w:rPr>
            <w:color w:val="0000EE"/>
            <w:u w:val="single"/>
          </w:rPr>
          <w:t>https://www.thecarlatreport.com/blogs/2-the-carlat-psychiatry-podcast/post/6262-gender-affirming-care-in-exile-the-lawsuits</w:t>
        </w:r>
      </w:hyperlink>
      <w:r>
        <w:t xml:space="preserve"> - This article discusses recent lawsuits challenging gender-affirming care, focusing on cases where patients who regret their transitions are suing therapists and surgeons. It highlights a $2 million malpractice case and examines how these legal actions are influencing standards of care. The piece also touches on the broader controversy surrounding gender-affirming treatments, including legislative efforts to restrict such care and the impact on medical professionals involved in these procedures.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arlatreport.com/blogs/2-the-carlat-psychiatry-podcast/post/6262-gender-affirming-care-in-exile-the-lawsu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