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Ruling on Hungary’s Anti‑LGBTI+ Law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rights and rule‑makers watched closely this week as the Court of Justice of the European Union found Hungary in breach of EU law, declaring a 2021 law that stigmatises LGBTI+ people incompatible with core Union values , a decision that could force legal and political change in Budapest.</w:t>
      </w:r>
      <w:r/>
    </w:p>
    <w:p>
      <w:r/>
      <w:r>
        <w:t>Essential Takeaways</w:t>
      </w:r>
      <w:r/>
      <w:r/>
    </w:p>
    <w:p>
      <w:pPr>
        <w:pStyle w:val="ListBullet"/>
        <w:spacing w:line="240" w:lineRule="auto"/>
        <w:ind w:left="720"/>
      </w:pPr>
      <w:r/>
      <w:r>
        <w:rPr>
          <w:b/>
        </w:rPr>
        <w:t>Landmark finding:</w:t>
      </w:r>
      <w:r>
        <w:t xml:space="preserve"> The ECJ ruled Hungary breached Article 2 TEU by adopting legislation that discriminates against LGBTI+ people.</w:t>
      </w:r>
      <w:r/>
    </w:p>
    <w:p>
      <w:pPr>
        <w:pStyle w:val="ListBullet"/>
        <w:spacing w:line="240" w:lineRule="auto"/>
        <w:ind w:left="720"/>
      </w:pPr>
      <w:r/>
      <w:r>
        <w:rPr>
          <w:b/>
        </w:rPr>
        <w:t>Multiple breaches:</w:t>
      </w:r>
      <w:r>
        <w:t xml:space="preserve"> The court found violations of internal market rules, the EU Charter of Fundamental Rights and GDPR protections.</w:t>
      </w:r>
      <w:r/>
    </w:p>
    <w:p>
      <w:pPr>
        <w:pStyle w:val="ListBullet"/>
        <w:spacing w:line="240" w:lineRule="auto"/>
        <w:ind w:left="720"/>
      </w:pPr>
      <w:r/>
      <w:r>
        <w:rPr>
          <w:b/>
        </w:rPr>
        <w:t>Targeted content rules:</w:t>
      </w:r>
      <w:r>
        <w:t xml:space="preserve"> The disputed law restricts access to audiovisual and advertising content portraying gender reassignment or homosexuality, claiming child protection.</w:t>
      </w:r>
      <w:r/>
    </w:p>
    <w:p>
      <w:pPr>
        <w:pStyle w:val="ListBullet"/>
        <w:spacing w:line="240" w:lineRule="auto"/>
        <w:ind w:left="720"/>
      </w:pPr>
      <w:r/>
      <w:r>
        <w:rPr>
          <w:b/>
        </w:rPr>
        <w:t>Political context:</w:t>
      </w:r>
      <w:r>
        <w:t xml:space="preserve"> The ruling arrives as a new, pro‑EU coalition replaces Viktor Orbán’s government, increasing the chance of compliance.</w:t>
      </w:r>
      <w:r/>
    </w:p>
    <w:p>
      <w:pPr>
        <w:pStyle w:val="ListBullet"/>
        <w:spacing w:line="240" w:lineRule="auto"/>
        <w:ind w:left="720"/>
      </w:pPr>
      <w:r/>
      <w:r>
        <w:rPr>
          <w:b/>
        </w:rPr>
        <w:t>Practical effect:</w:t>
      </w:r>
      <w:r>
        <w:t xml:space="preserve"> The judgement requires Hungary to amend national laws, and sets a precedent for enforcing EU values against member states.</w:t>
      </w:r>
      <w:r/>
      <w:r/>
    </w:p>
    <w:p>
      <w:pPr>
        <w:pStyle w:val="Heading2"/>
      </w:pPr>
      <w:r>
        <w:t>What the court actually said , a clear, rights‑based judgement</w:t>
      </w:r>
      <w:r/>
    </w:p>
    <w:p>
      <w:r/>
      <w:r>
        <w:t xml:space="preserve">The ECJ’s ruling struck at the heart of a 2021 Hungarian law that limited access to media and advertising portraying gender reassignment, homosexuality or identities differing from birth sex, and framed it as child protection. According to the court, those measures "prohibit or restrict" such content in practice. Reuters and Agence Europe described the judgement as the first time the court declared a member state to have breached Article 2 TEU, the clause listing EU foundational values. Expect that line , EU values over national measures , to be quoted a lot in coming days. (Sources: </w:t>
      </w:r>
      <w:hyperlink r:id="rId9">
        <w:r>
          <w:rPr>
            <w:color w:val="0000EE"/>
            <w:u w:val="single"/>
          </w:rPr>
          <w:t>[2]</w:t>
        </w:r>
      </w:hyperlink>
      <w:r>
        <w:t xml:space="preserve">, </w:t>
      </w:r>
      <w:hyperlink r:id="rId10">
        <w:r>
          <w:rPr>
            <w:color w:val="0000EE"/>
            <w:u w:val="single"/>
          </w:rPr>
          <w:t>[3]</w:t>
        </w:r>
      </w:hyperlink>
      <w:r>
        <w:t>)</w:t>
      </w:r>
      <w:r/>
    </w:p>
    <w:p>
      <w:pPr>
        <w:pStyle w:val="Heading2"/>
      </w:pPr>
      <w:r>
        <w:t>Why the court rejected Hungary’s child‑protection defence</w:t>
      </w:r>
      <w:r/>
    </w:p>
    <w:p>
      <w:r/>
      <w:r>
        <w:t xml:space="preserve">Hungary argued the measures were aimed at protecting minors, but the ECJ said the restrictions go beyond that stated aim and amount to discrimination. The judgement emphasised that singling out particular sexual orientations and identities amounts to stigmatisation, and runs counter to pluralism and non‑discrimination requirements under EU law. That reasoning matters because it narrows the space for member states to use child‑safety language as a cover for policies that target minorities. (Sources: </w:t>
      </w:r>
      <w:hyperlink r:id="rId10">
        <w:r>
          <w:rPr>
            <w:color w:val="0000EE"/>
            <w:u w:val="single"/>
          </w:rPr>
          <w:t>[3]</w:t>
        </w:r>
      </w:hyperlink>
      <w:r>
        <w:t xml:space="preserve">, </w:t>
      </w:r>
      <w:hyperlink r:id="rId11">
        <w:r>
          <w:rPr>
            <w:color w:val="0000EE"/>
            <w:u w:val="single"/>
          </w:rPr>
          <w:t>[7]</w:t>
        </w:r>
      </w:hyperlink>
      <w:r>
        <w:t>)</w:t>
      </w:r>
      <w:r/>
    </w:p>
    <w:p>
      <w:pPr>
        <w:pStyle w:val="Heading2"/>
      </w:pPr>
      <w:r>
        <w:t>Legal consequences , more than symbolism</w:t>
      </w:r>
      <w:r/>
    </w:p>
    <w:p>
      <w:r/>
      <w:r>
        <w:t xml:space="preserve">The decision didn’t just make a political point: it found concrete breaches of primary and secondary EU law, the Charter of Fundamental Rights and even GDPR provisions. That gives the Commission stronger grounds to press for amendments and, if necessary, further enforcement measures. Commission documents and EU legal analysts note this ruling will be used as a touchstone in future infringement procedures dealing with rights and market rules. For lawyers and campaigners, this is a practical tool, not just a headline. (Sources: </w:t>
      </w:r>
      <w:hyperlink r:id="rId12">
        <w:r>
          <w:rPr>
            <w:color w:val="0000EE"/>
            <w:u w:val="single"/>
          </w:rPr>
          <w:t>[4]</w:t>
        </w:r>
      </w:hyperlink>
      <w:r>
        <w:t xml:space="preserve">, </w:t>
      </w:r>
      <w:hyperlink r:id="rId13">
        <w:r>
          <w:rPr>
            <w:color w:val="0000EE"/>
            <w:u w:val="single"/>
          </w:rPr>
          <w:t>[6]</w:t>
        </w:r>
      </w:hyperlink>
      <w:r>
        <w:t>)</w:t>
      </w:r>
      <w:r/>
    </w:p>
    <w:p>
      <w:pPr>
        <w:pStyle w:val="Heading2"/>
      </w:pPr>
      <w:r>
        <w:t>Politics next , a changed Hungarian landscape</w:t>
      </w:r>
      <w:r/>
    </w:p>
    <w:p>
      <w:r/>
      <w:r>
        <w:t xml:space="preserve">Timing is crucial. Viktor Orbán’s Fidesz was recently voted out after 16 years, and the incoming opposition coalition has pledged a more European‑facing stance. Political change in Budapest raises the real possibility that the offending statutes will be revised to align with the ECJ decision. Human‑rights groups welcomed the ruling and urged the new government to act; they’ll be watching whether commitments turn into concrete legal fixes. The interplay between Brussels’ courts and Budapest’s new parliament will now shape whether the judgement produces rapid reform. (Sources: </w:t>
      </w:r>
      <w:hyperlink r:id="rId14">
        <w:r>
          <w:rPr>
            <w:color w:val="0000EE"/>
            <w:u w:val="single"/>
          </w:rPr>
          <w:t>[1]</w:t>
        </w:r>
      </w:hyperlink>
      <w:r>
        <w:t xml:space="preserve">, </w:t>
      </w:r>
      <w:hyperlink r:id="rId15">
        <w:r>
          <w:rPr>
            <w:color w:val="0000EE"/>
            <w:u w:val="single"/>
          </w:rPr>
          <w:t>[5]</w:t>
        </w:r>
      </w:hyperlink>
      <w:r>
        <w:t>)</w:t>
      </w:r>
      <w:r/>
    </w:p>
    <w:p>
      <w:pPr>
        <w:pStyle w:val="Heading2"/>
      </w:pPr>
      <w:r>
        <w:t>What this means for EU citizens and rights defenders</w:t>
      </w:r>
      <w:r/>
    </w:p>
    <w:p>
      <w:r/>
      <w:r>
        <w:t xml:space="preserve">For LGBTI+ people across the EU the ruling is both symbolic and practical: it affirms that member states cannot lawfully single out identities for disadvantage under the guise of protection. Activists can point to the ECJ decision when challenging similar measures elsewhere, and media and advertisers now have a clearer legal framework for contesting restrictions. That said, implementation will be the test , court victories need political follow‑through to change everyday life. (Sources: </w:t>
      </w:r>
      <w:hyperlink r:id="rId11">
        <w:r>
          <w:rPr>
            <w:color w:val="0000EE"/>
            <w:u w:val="single"/>
          </w:rPr>
          <w:t>[7]</w:t>
        </w:r>
      </w:hyperlink>
      <w:r>
        <w:t xml:space="preserve">, </w:t>
      </w:r>
      <w:hyperlink r:id="rId15">
        <w:r>
          <w:rPr>
            <w:color w:val="0000EE"/>
            <w:u w:val="single"/>
          </w:rPr>
          <w:t>[5]</w:t>
        </w:r>
      </w:hyperlink>
      <w:r>
        <w:t>)</w:t>
      </w:r>
      <w:r/>
    </w:p>
    <w:p>
      <w:r/>
      <w:r>
        <w:t>It's a small legal shift with big symbolic weight , and now comes the harder work of turning a court ruling into changed laws and changed lives.</w:t>
      </w:r>
      <w:r/>
    </w:p>
    <w:p>
      <w:pPr>
        <w:pStyle w:val="Heading3"/>
      </w:pPr>
      <w:r>
        <w:t>Source Reference Map</w:t>
      </w:r>
      <w:r/>
    </w:p>
    <w:p>
      <w:r/>
      <w:r>
        <w:rPr>
          <w:b/>
        </w:rPr>
        <w:t>Story idea inspired by:</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[7]</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[1]</w:t>
        </w:r>
      </w:hyperlink>
      <w:r>
        <w:t xml:space="preserve">, </w:t>
      </w:r>
      <w:hyperlink r:id="rId15">
        <w:r>
          <w:rPr>
            <w:color w:val="0000EE"/>
            <w:u w:val="single"/>
          </w:rPr>
          <w:t>[5]</w:t>
        </w:r>
      </w:hyperlink>
      <w:r>
        <w:t xml:space="preserve">- Paragraph 5: </w:t>
      </w:r>
      <w:hyperlink r:id="rId11">
        <w:r>
          <w:rPr>
            <w:color w:val="0000EE"/>
            <w:u w:val="single"/>
          </w:rPr>
          <w:t>[7]</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https://bicommunitynews.co.uk/2026/04/21/hungary-in-breach-of-eu-law/?utm_source=rss&amp;utm_medium=rss&amp;utm_campaign=hungary-in-breach-of-eu-law</w:t>
        </w:r>
      </w:hyperlink>
      <w:r>
        <w:t xml:space="preserve"> - Please view link - unable to able to access data</w:t>
      </w:r>
      <w:r/>
    </w:p>
    <w:p>
      <w:pPr>
        <w:pStyle w:val="ListNumber"/>
        <w:spacing w:line="240" w:lineRule="auto"/>
        <w:ind w:left="720"/>
      </w:pPr>
      <w:r/>
      <w:hyperlink r:id="rId9">
        <w:r>
          <w:rPr>
            <w:color w:val="0000EE"/>
            <w:u w:val="single"/>
          </w:rPr>
          <w:t>https://apnews.com/article/7be38f1e903f0492e53eeaee1c828297</w:t>
        </w:r>
      </w:hyperlink>
      <w:r>
        <w:t xml:space="preserve"> - The Associated Press reports that the European Court of Justice has ruled Hungary's 2021 legislation banning LGBTQ+ content for minors violates EU law and the bloc's foundational treaty, which mandates respect for human rights and equality. The court criticised the law for stigmatising LGBTQ+ individuals and breaching EU rules on non-discrimination, internal market services, and data protection. Hungary's nationalist-populist government, led by outgoing Prime Minister Viktor Orbán, defended the law as protecting children from 'sexual propaganda', but critics likened it to Russia's anti-LGBTQ+ measures, arguing it conflates homosexuality with pedophilia. Despite the ban, over 100,000 people marched in last year's Budapest Pride. This is the first time an EU country has been found to violate Article 2 of the EU treaty, which enshrines key democratic and human rights values. Orbán's government suffered a major electoral defeat on April 12 to the centre-right Tisza party, led by Péter Magyar, who pledged a more inclusive and pro-EU stance. His administration is expected to take office in mid-May.</w:t>
      </w:r>
      <w:r/>
    </w:p>
    <w:p>
      <w:pPr>
        <w:pStyle w:val="ListNumber"/>
        <w:spacing w:line="240" w:lineRule="auto"/>
        <w:ind w:left="720"/>
      </w:pPr>
      <w:r/>
      <w:hyperlink r:id="rId10">
        <w:r>
          <w:rPr>
            <w:color w:val="0000EE"/>
            <w:u w:val="single"/>
          </w:rPr>
          <w:t>https://agenceurope.eu/en/bulletin/article/13853/24/court-of-justice-confirms-hungarian-law-stigmatising-lgbtiq-people-is-violation-of-eu-law</w:t>
        </w:r>
      </w:hyperlink>
      <w:r>
        <w:t xml:space="preserve"> - Agence Europe reports that the Court of Justice of the EU has ruled that Hungary's 2021 law prohibiting minors from accessing content representing LGBTIQ+ people violates the fundamental values (Article 2 TEU) on which the European Union is founded. The court found that the law constitutes a coordinated series of discriminatory measures against the rights of LGBTIQ+ persons, breaching the EU's prohibition of discrimination based on sex or sexual orientation.</w:t>
      </w:r>
      <w:r/>
    </w:p>
    <w:p>
      <w:pPr>
        <w:pStyle w:val="ListNumber"/>
        <w:spacing w:line="240" w:lineRule="auto"/>
        <w:ind w:left="720"/>
      </w:pPr>
      <w:r/>
      <w:hyperlink r:id="rId12">
        <w:r>
          <w:rPr>
            <w:color w:val="0000EE"/>
            <w:u w:val="single"/>
          </w:rPr>
          <w:t>https://commission.europa.eu/law/application-eu-law/implementing-eu-law/infringement-procedure/2021-annual-report-monitoring-application-eu-law/hungary_en</w:t>
        </w:r>
      </w:hyperlink>
      <w:r>
        <w:t xml:space="preserve"> - The European Commission's 2021 Annual Report on monitoring the application of EU law indicates that in 2021, the Commission opened 26 new infringement cases against Hungary by sending a letter of formal notice under Article 258 TFEU. By the end of 2021, 60 infringement cases remained open against Hungary, highlighting ongoing legal challenges related to Hungary's compliance with EU law.</w:t>
      </w:r>
      <w:r/>
    </w:p>
    <w:p>
      <w:pPr>
        <w:pStyle w:val="ListNumber"/>
        <w:spacing w:line="240" w:lineRule="auto"/>
        <w:ind w:left="720"/>
      </w:pPr>
      <w:r/>
      <w:hyperlink r:id="rId15">
        <w:r>
          <w:rPr>
            <w:color w:val="0000EE"/>
            <w:u w:val="single"/>
          </w:rPr>
          <w:t>https://www.ilga-europe.org/press-release/infringement-ruling-tests-whether-magyar-will-put-pro-eu-commitments-into-practice/</w:t>
        </w:r>
      </w:hyperlink>
      <w:r>
        <w:t xml:space="preserve"> - ILGA-Europe's press release discusses the Court of Justice of the EU's ruling that Hungary's anti-LGBT law violates EU Treaties, multiple EU laws, and the EU Charter. The ruling marks the first time the court found a standalone violation of TEU Article 2 for systemically undermining the rights of a minority group, dehumanising LGBTI people. The press release emphasises the need for Hungary's incoming Prime Minister Péter Magyar to demonstrate a clear commitment to withdrawing the law and the Pride ban to uphold pro-EU commitments.</w:t>
      </w:r>
      <w:r/>
    </w:p>
    <w:p>
      <w:pPr>
        <w:pStyle w:val="ListNumber"/>
        <w:spacing w:line="240" w:lineRule="auto"/>
        <w:ind w:left="720"/>
      </w:pPr>
      <w:r/>
      <w:hyperlink r:id="rId13">
        <w:r>
          <w:rPr>
            <w:color w:val="0000EE"/>
            <w:u w:val="single"/>
          </w:rPr>
          <w:t>https://ieu-monitoring.com/editorial/eu-court-hungary-breaches-eu-fundamental-values-over-anti-lgbtiq-law/1072416/</w:t>
        </w:r>
      </w:hyperlink>
      <w:r>
        <w:t xml:space="preserve"> - INSIGHT EU MONITORING reports that the Court of Justice has ruled that Hungary breached EU law by restricting content related to gender identity and homosexuality under its 2021 child protection legislation. The court established, for the first time in such proceedings, a separate infringement of Article 2 TEU, highlighting the significance of the ruling in upholding EU fundamental values.</w:t>
      </w:r>
      <w:r/>
    </w:p>
    <w:p>
      <w:pPr>
        <w:pStyle w:val="ListNumber"/>
        <w:spacing w:line="240" w:lineRule="auto"/>
        <w:ind w:left="720"/>
      </w:pPr>
      <w:r/>
      <w:hyperlink r:id="rId11">
        <w:r>
          <w:rPr>
            <w:color w:val="0000EE"/>
            <w:u w:val="single"/>
          </w:rPr>
          <w:t>https://www.theguardian.com/world/2026/apr/21/eu-court-ecj-hungary-anti-gay-lgbtq-law</w:t>
        </w:r>
      </w:hyperlink>
      <w:r>
        <w:t xml:space="preserve"> - The Guardian reports that the EU's highest court has found Hungary's anti-LGBTQ+ law to be discriminatory, stigmatising, and in breach of basic democratic values. The ruling sets up an early test for the incoming government when it takes power next month, as it challenges the government's stance on LGBTQ+ rights and its alignment with EU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7be38f1e903f0492e53eeaee1c828297" TargetMode="External"/><Relationship Id="rId10" Type="http://schemas.openxmlformats.org/officeDocument/2006/relationships/hyperlink" Target="https://agenceurope.eu/en/bulletin/article/13853/24/court-of-justice-confirms-hungarian-law-stigmatising-lgbtiq-people-is-violation-of-eu-law" TargetMode="External"/><Relationship Id="rId11" Type="http://schemas.openxmlformats.org/officeDocument/2006/relationships/hyperlink" Target="https://www.theguardian.com/world/2026/apr/21/eu-court-ecj-hungary-anti-gay-lgbtq-law" TargetMode="External"/><Relationship Id="rId12" Type="http://schemas.openxmlformats.org/officeDocument/2006/relationships/hyperlink" Target="https://commission.europa.eu/law/application-eu-law/implementing-eu-law/infringement-procedure/2021-annual-report-monitoring-application-eu-law/hungary_en" TargetMode="External"/><Relationship Id="rId13" Type="http://schemas.openxmlformats.org/officeDocument/2006/relationships/hyperlink" Target="https://ieu-monitoring.com/editorial/eu-court-hungary-breaches-eu-fundamental-values-over-anti-lgbtiq-law/1072416/" TargetMode="External"/><Relationship Id="rId14" Type="http://schemas.openxmlformats.org/officeDocument/2006/relationships/hyperlink" Target="https://bicommunitynews.co.uk/2026/04/21/hungary-in-breach-of-eu-law/?utm_source=rss&amp;utm_medium=rss&amp;utm_campaign=hungary-in-breach-of-eu-law" TargetMode="External"/><Relationship Id="rId15" Type="http://schemas.openxmlformats.org/officeDocument/2006/relationships/hyperlink" Target="https://www.ilga-europe.org/press-release/infringement-ruling-tests-whether-magyar-will-put-pro-eu-commitments-into-prac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