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Ways Healthcare Can See All Women: Practical Steps for Inclusive Wellbeing</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patients alike are demanding visibility , and for good reason. Health experts, activists and international bodies warn that when lesbian, trans, intersex and queer women are unseen they’re underserved, putting wellbeing at risk; here’s what, practically, needs to change and why it matters.</w:t>
      </w:r>
      <w:r/>
    </w:p>
    <w:p>
      <w:r/>
      <w:r>
        <w:t>Essential Takeaways</w:t>
      </w:r>
      <w:r/>
      <w:r/>
    </w:p>
    <w:p>
      <w:pPr>
        <w:pStyle w:val="ListBullet"/>
        <w:spacing w:line="240" w:lineRule="auto"/>
        <w:ind w:left="720"/>
      </w:pPr>
      <w:r/>
      <w:r>
        <w:rPr>
          <w:b/>
        </w:rPr>
        <w:t>Recognition matters:</w:t>
      </w:r>
      <w:r>
        <w:t xml:space="preserve"> Simple clinic questions and inclusive intake forms make people feel safe and improve care. </w:t>
      </w:r>
      <w:r/>
    </w:p>
    <w:p>
      <w:pPr>
        <w:pStyle w:val="ListBullet"/>
        <w:spacing w:line="240" w:lineRule="auto"/>
        <w:ind w:left="720"/>
      </w:pPr>
      <w:r/>
      <w:r>
        <w:rPr>
          <w:b/>
        </w:rPr>
        <w:t>Bias has costs:</w:t>
      </w:r>
      <w:r>
        <w:t xml:space="preserve"> Avoiding healthcare because of stigma can delay diagnosis and treatment for serious conditions. </w:t>
      </w:r>
      <w:r/>
    </w:p>
    <w:p>
      <w:pPr>
        <w:pStyle w:val="ListBullet"/>
        <w:spacing w:line="240" w:lineRule="auto"/>
        <w:ind w:left="720"/>
      </w:pPr>
      <w:r/>
      <w:r>
        <w:rPr>
          <w:b/>
        </w:rPr>
        <w:t>Policy impacts wellbeing:</w:t>
      </w:r>
      <w:r>
        <w:t xml:space="preserve"> Measures like blanket genetic screening in sport create fear and undermine trust. </w:t>
      </w:r>
      <w:r/>
    </w:p>
    <w:p>
      <w:pPr>
        <w:pStyle w:val="ListBullet"/>
        <w:spacing w:line="240" w:lineRule="auto"/>
        <w:ind w:left="720"/>
      </w:pPr>
      <w:r/>
      <w:r>
        <w:rPr>
          <w:b/>
        </w:rPr>
        <w:t>Practical fixes exist:</w:t>
      </w:r>
      <w:r>
        <w:t xml:space="preserve"> Staff training, sex- and gender‑inclusive data collection, and clear anti‑discrimination rules help. </w:t>
      </w:r>
      <w:r/>
      <w:r/>
    </w:p>
    <w:p>
      <w:pPr>
        <w:pStyle w:val="Heading2"/>
      </w:pPr>
      <w:r>
        <w:t>Why visibility in healthcare is a practical health issue, not just identity politics</w:t>
      </w:r>
      <w:r/>
    </w:p>
    <w:p>
      <w:r/>
      <w:r>
        <w:t>Start with the clinic waiting room: a soft hum of fluorescent lights, a receptionist asking “Do you have a boyfriend?” and someone leaving without saying why. That is the kind of small moment that drives people away from care, and it smells of missed diagnoses and avoidable harm. Health systems that assume heterosexuality or binary gender are actively creating blind spots. According to Johns Hopkins and Mayo Clinic overviews, lesbian and bisexual women face distinct health risks and barriers , from sexual health needs to cancer screening uptake , that get missed when professionals don’t ask the right questions. So this isn’t abstract. It’s about screening, vaccines, mental‑health support and follow‑up: the things that keep people well. Fixing intake processes and training staff is low on drama but high on impact. If you work in healthcare, start by updating intake forms and training reception staff. Patients notice small signals of inclusion and those signals change behaviour.</w:t>
      </w:r>
      <w:r/>
    </w:p>
    <w:p>
      <w:pPr>
        <w:pStyle w:val="Heading2"/>
      </w:pPr>
      <w:r>
        <w:t>How policy decisions reach into exam rooms and sports fields</w:t>
      </w:r>
      <w:r/>
    </w:p>
    <w:p>
      <w:r/>
      <w:r>
        <w:t>When institutions roll out blunt policies , for instance, universal genetic testing or blanket bans in sport , the message sent is clear: certain bodies are to be scrutinised and policed. Human Rights Watch labelled sex‑testing all female athletes a discriminatory rights violation, and recent IOC announcements show how quickly policy can amplify fear. That policing seeps back into healthcare, normalising invasive questioning and surveillance beyond elite sport. It also chills participation: athletes, patients and families may withdraw from services or public life rather than face scrutiny. Policy makers need to weigh rights and medical ethics, not just imagined fairness. The practical step here is transparency: explain criteria, build safeguards, and consult lived‑experience experts before forcing sweeping measures.</w:t>
      </w:r>
      <w:r/>
    </w:p>
    <w:p>
      <w:pPr>
        <w:pStyle w:val="Heading2"/>
      </w:pPr>
      <w:r>
        <w:t>Small design changes that yield big improvements in care</w:t>
      </w:r>
      <w:r/>
    </w:p>
    <w:p>
      <w:r/>
      <w:r>
        <w:t>You don’t need to rewire a hospital to start making people feel seen. Simple changes , gender‑inclusive intake options, clear statements of non‑discrimination on websites and in waiting rooms, and private routes for sensitive conversations , make a measurable difference. Clinicians can add neutral, open‑ended questions like “Do you have partners I should know about for sexual‑health advice?” rather than assuming. According to Mayo Clinic guidance, tailored preventive care and culturally competent counselling improve outcomes. Practical tip: audit your patient materials and forms this week. Replace binary checkboxes with fields that reflect identity and behaviour relevant to health. It’s cheap, and it’s noticed.</w:t>
      </w:r>
      <w:r/>
    </w:p>
    <w:p>
      <w:pPr>
        <w:pStyle w:val="Heading2"/>
      </w:pPr>
      <w:r>
        <w:t>Training and trust: why staff attitude beats a policy memo</w:t>
      </w:r>
      <w:r/>
    </w:p>
    <w:p>
      <w:r/>
      <w:r>
        <w:t>Policies are only words if staff aren’t supported to put them into practice. Front‑line workers need ongoing training on sexual orientation, gender diversity and intersex variations that’s practical and case‑based, not theoretical. Trust builds slowly: a receptionist’s language, the clinician’s curiosity without judgement, and follow‑up that acknowledges the patient’s experience. Institutions such as large health centres and professional bodies have run successful training pilots that reduce missed opportunities to screen or refer. For managers: make competency training mandatory, repeat it, and evaluate it with patient feedback. Real change comes when systems reward inclusive behaviour rather than merely publishing a statement.</w:t>
      </w:r>
      <w:r/>
    </w:p>
    <w:p>
      <w:pPr>
        <w:pStyle w:val="Heading2"/>
      </w:pPr>
      <w:r>
        <w:t>What communities and clinicians can do together</w:t>
      </w:r>
      <w:r/>
    </w:p>
    <w:p>
      <w:r/>
      <w:r>
        <w:t>Change isn’t top‑down only. Community organisations, patient advocates and clinicians can co‑design services, pilot drop‑in clinics, and produce plain‑language guides that explain rights and options. Those partnerships also help institutions spot blind spots they never saw from the inside. During visibility campaigns, the message should be dual: be proud and be safe. Visibility without protection invites hostility; protection without recognition fails people. Both matter. If you’re a patient, bring a friend, ask for forms to be explained, and report discriminatory experiences. If you’re a clinician, listen more than you assume, and let recognition lead to appropriate care.</w:t>
      </w:r>
      <w:r/>
    </w:p>
    <w:p>
      <w:r/>
      <w:r>
        <w:t>It's a small change that can make every consultation a safer one.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2">
        <w:r>
          <w:rPr>
            <w:color w:val="0000EE"/>
            <w:u w:val="single"/>
          </w:rPr>
          <w:t>[4]</w:t>
        </w:r>
      </w:hyperlink>
      <w:r>
        <w:t xml:space="preserve">, </w:t>
      </w:r>
      <w:hyperlink r:id="rId13">
        <w:r>
          <w:rPr>
            <w:color w:val="0000EE"/>
            <w:u w:val="single"/>
          </w:rPr>
          <w:t>[6]</w:t>
        </w:r>
      </w:hyperlink>
      <w:r>
        <w:t xml:space="preserve">- Paragraph 3: </w:t>
      </w:r>
      <w:hyperlink r:id="rId10">
        <w:r>
          <w:rPr>
            <w:color w:val="0000EE"/>
            <w:u w:val="single"/>
          </w:rPr>
          <w:t>[2]</w:t>
        </w:r>
      </w:hyperlink>
      <w:r>
        <w:t xml:space="preserve">, </w:t>
      </w:r>
      <w:hyperlink r:id="rId11">
        <w:r>
          <w:rPr>
            <w:color w:val="0000EE"/>
            <w:u w:val="single"/>
          </w:rPr>
          <w:t>[3]</w:t>
        </w:r>
      </w:hyperlink>
      <w:r>
        <w:t xml:space="preserve">- Paragraph 4: </w:t>
      </w:r>
      <w:hyperlink r:id="rId14">
        <w:r>
          <w:rPr>
            <w:color w:val="0000EE"/>
            <w:u w:val="single"/>
          </w:rPr>
          <w:t>[5]</w:t>
        </w:r>
      </w:hyperlink>
      <w:r>
        <w:t xml:space="preserve">, </w:t>
      </w:r>
      <w:hyperlink r:id="rId12">
        <w:r>
          <w:rPr>
            <w:color w:val="0000EE"/>
            <w:u w:val="single"/>
          </w:rPr>
          <w:t>[4]</w:t>
        </w:r>
      </w:hyperlink>
      <w:r>
        <w:t xml:space="preserve">- Paragraph 5: </w:t>
      </w:r>
      <w:hyperlink r:id="rId11">
        <w:r>
          <w:rPr>
            <w:color w:val="0000EE"/>
            <w:u w:val="single"/>
          </w:rPr>
          <w:t>[3]</w:t>
        </w:r>
      </w:hyperlink>
      <w:r>
        <w:t xml:space="preserve">, </w:t>
      </w:r>
      <w:hyperlink r:id="rId10">
        <w:r>
          <w:rPr>
            <w:color w:val="0000EE"/>
            <w:u w:val="single"/>
          </w:rPr>
          <w:t>[2]</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https://diva-magazine.com/2026/04/26/beyond-the-binary-why-true-wellbeing-requires-seeing-all-women/?utm_source=rss&amp;utm_medium=rss&amp;utm_campaign=beyond-the-binary-why-true-wellbeing-requires-seeing-all-women</w:t>
        </w:r>
      </w:hyperlink>
      <w:r>
        <w:t xml:space="preserve"> - Please view link - unable to able to access data</w:t>
      </w:r>
      <w:r/>
    </w:p>
    <w:p>
      <w:pPr>
        <w:pStyle w:val="ListNumber"/>
        <w:spacing w:line="240" w:lineRule="auto"/>
        <w:ind w:left="720"/>
      </w:pPr>
      <w:r/>
      <w:hyperlink r:id="rId10">
        <w:r>
          <w:rPr>
            <w:color w:val="0000EE"/>
            <w:u w:val="single"/>
          </w:rPr>
          <w:t>https://www.hopkinsmedicine.org/health/wellness-and-prevention/lesbian-and-bisexual-womens-health-issues</w:t>
        </w:r>
      </w:hyperlink>
      <w:r>
        <w:t xml:space="preserve"> - This article from Johns Hopkins Medicine discusses the unique health concerns faced by lesbian and bisexual women, including higher risks of breast cancer, intimate partner violence, substance use disorders, and obesity. It emphasizes the importance of regular health screenings and open communication with healthcare providers to address these issues effectively.</w:t>
      </w:r>
      <w:r/>
    </w:p>
    <w:p>
      <w:pPr>
        <w:pStyle w:val="ListNumber"/>
        <w:spacing w:line="240" w:lineRule="auto"/>
        <w:ind w:left="720"/>
      </w:pPr>
      <w:r/>
      <w:hyperlink r:id="rId11">
        <w:r>
          <w:rPr>
            <w:color w:val="0000EE"/>
            <w:u w:val="single"/>
          </w:rPr>
          <w:t>https://www.mayoclinic.org/healthy-lifestyle/adult-health/in-depth/health-issues-for-lesbians/art-20047202</w:t>
        </w:r>
      </w:hyperlink>
      <w:r>
        <w:t xml:space="preserve"> - The Mayo Clinic provides insights into health issues pertinent to lesbians and other women who have sex with women. It covers topics such as mental health concerns, protection against sexually transmitted infections, substance misuse, and intimate partner violence, offering guidance on maintaining good health and seeking appropriate care.</w:t>
      </w:r>
      <w:r/>
    </w:p>
    <w:p>
      <w:pPr>
        <w:pStyle w:val="ListNumber"/>
        <w:spacing w:line="240" w:lineRule="auto"/>
        <w:ind w:left="720"/>
      </w:pPr>
      <w:r/>
      <w:hyperlink r:id="rId12">
        <w:r>
          <w:rPr>
            <w:color w:val="0000EE"/>
            <w:u w:val="single"/>
          </w:rPr>
          <w:t>https://www.hrw.org/news/2026/04/13/sex-testing-all-women-athletes-is-a-discriminatory-rights-violation</w:t>
        </w:r>
      </w:hyperlink>
      <w:r>
        <w:t xml:space="preserve"> - Human Rights Watch critiques the International Olympic Committee's decision to implement genetic sex testing for all women athletes, arguing that it is a discriminatory rights violation. The article highlights the history of sex testing in sports and its harmful impact on athletes, particularly those with intersex traits.</w:t>
      </w:r>
      <w:r/>
    </w:p>
    <w:p>
      <w:pPr>
        <w:pStyle w:val="ListNumber"/>
        <w:spacing w:line="240" w:lineRule="auto"/>
        <w:ind w:left="720"/>
      </w:pPr>
      <w:r/>
      <w:hyperlink r:id="rId14">
        <w:r>
          <w:rPr>
            <w:color w:val="0000EE"/>
            <w:u w:val="single"/>
          </w:rPr>
          <w:t>https://ministryofsport.com/ioc-announces-new-sex-based-eligibility-policy-for-la28-olympics/</w:t>
        </w:r>
      </w:hyperlink>
      <w:r>
        <w:t xml:space="preserve"> - The Ministry of Sport reports on the International Olympic Committee's new policy restricting eligibility for the female category to biological females only, effective for the Los Angeles 2028 Olympic Games. The policy includes a one-time SRY gene screening to determine eligibility, raising concerns about fairness and inclusivity.</w:t>
      </w:r>
      <w:r/>
    </w:p>
    <w:p>
      <w:pPr>
        <w:pStyle w:val="ListNumber"/>
        <w:spacing w:line="240" w:lineRule="auto"/>
        <w:ind w:left="720"/>
      </w:pPr>
      <w:r/>
      <w:hyperlink r:id="rId13">
        <w:r>
          <w:rPr>
            <w:color w:val="0000EE"/>
            <w:u w:val="single"/>
          </w:rPr>
          <w:t>https://www.cyclingnews.com/pro-cycling/womens-cycling/olympic-committee-moves-to-require-genetic-testing-for-all-female-competitors-ahead-of-los-angeles-games/</w:t>
        </w:r>
      </w:hyperlink>
      <w:r>
        <w:t xml:space="preserve"> - Cycling News details the International Olympic Committee's announcement requiring all female athletes to undergo genetic screening to verify eligibility for female categories, starting with the 2028 Olympic Games. The article discusses the implications of this policy, including potential impacts on transgender and intersex athletes.</w:t>
      </w:r>
      <w:r/>
    </w:p>
    <w:p>
      <w:pPr>
        <w:pStyle w:val="ListNumber"/>
        <w:spacing w:line="240" w:lineRule="auto"/>
        <w:ind w:left="720"/>
      </w:pPr>
      <w:r/>
      <w:hyperlink r:id="rId15">
        <w:r>
          <w:rPr>
            <w:color w:val="0000EE"/>
            <w:u w:val="single"/>
          </w:rPr>
          <w:t>https://elpais.com/deportes/2025-02-13/la-federacion-internacional-de-atletismo-estudia-en-plena-oleada-antitrans-un-test-genetico-para-competir-en-categoria-femenina.html</w:t>
        </w:r>
      </w:hyperlink>
      <w:r>
        <w:t xml:space="preserve"> - El País reports on the International Athletics Federation's consideration of implementing genetic testing to determine eligibility for female athletes in elite categories. The proposed regulation would require athletes to undergo genetic testing to verify the presence of the SRY gene and testosterone sensitivity levels.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diva-magazine.com/2026/04/26/beyond-the-binary-why-true-wellbeing-requires-seeing-all-women/?utm_source=rss&amp;utm_medium=rss&amp;utm_campaign=beyond-the-binary-why-true-wellbeing-requires-seeing-all-women" TargetMode="External"/><Relationship Id="rId10" Type="http://schemas.openxmlformats.org/officeDocument/2006/relationships/hyperlink" Target="https://www.hopkinsmedicine.org/health/wellness-and-prevention/lesbian-and-bisexual-womens-health-issues" TargetMode="External"/><Relationship Id="rId11" Type="http://schemas.openxmlformats.org/officeDocument/2006/relationships/hyperlink" Target="https://www.mayoclinic.org/healthy-lifestyle/adult-health/in-depth/health-issues-for-lesbians/art-20047202" TargetMode="External"/><Relationship Id="rId12" Type="http://schemas.openxmlformats.org/officeDocument/2006/relationships/hyperlink" Target="https://www.hrw.org/news/2026/04/13/sex-testing-all-women-athletes-is-a-discriminatory-rights-violation" TargetMode="External"/><Relationship Id="rId13" Type="http://schemas.openxmlformats.org/officeDocument/2006/relationships/hyperlink" Target="https://www.cyclingnews.com/pro-cycling/womens-cycling/olympic-committee-moves-to-require-genetic-testing-for-all-female-competitors-ahead-of-los-angeles-games/" TargetMode="External"/><Relationship Id="rId14" Type="http://schemas.openxmlformats.org/officeDocument/2006/relationships/hyperlink" Target="https://ministryofsport.com/ioc-announces-new-sex-based-eligibility-policy-for-la28-olympics/" TargetMode="External"/><Relationship Id="rId15" Type="http://schemas.openxmlformats.org/officeDocument/2006/relationships/hyperlink" Target="https://elpais.com/deportes/2025-02-13/la-federacion-internacional-de-atletismo-estudia-en-plena-oleada-antitrans-un-test-genetico-para-competir-en-categoria-femenin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