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Victoria Can Repair Historic Harms Against LGBTIQA+ Communities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reckonings: Victoria faces calls to formally acknowledge decades of criminalisation, police entrapment and public shaming of LGBTIQA+ people, and a new RMIT report sets out practical steps , inquiry, redress and remembrance , that could finally make justice, healing and education a priority.</w:t>
      </w:r>
      <w:r/>
    </w:p>
    <w:p>
      <w:r/>
      <w:r>
        <w:t>Essential Takeaways</w:t>
      </w:r>
      <w:r/>
      <w:r/>
    </w:p>
    <w:p>
      <w:pPr>
        <w:pStyle w:val="ListBullet"/>
        <w:spacing w:line="240" w:lineRule="auto"/>
        <w:ind w:left="720"/>
      </w:pPr>
      <w:r/>
      <w:r>
        <w:rPr>
          <w:b/>
        </w:rPr>
        <w:t>Historic policing:</w:t>
      </w:r>
      <w:r>
        <w:t xml:space="preserve"> Victorian laws and practices criminalised same-sex intimacy and gender diversity, leading to entrapment, arrests and public humiliation. </w:t>
      </w:r>
      <w:r/>
    </w:p>
    <w:p>
      <w:pPr>
        <w:pStyle w:val="ListBullet"/>
        <w:spacing w:line="240" w:lineRule="auto"/>
        <w:ind w:left="720"/>
      </w:pPr>
      <w:r/>
      <w:r>
        <w:rPr>
          <w:b/>
        </w:rPr>
        <w:t>Report proposal:</w:t>
      </w:r>
      <w:r>
        <w:t xml:space="preserve"> RMIT’s Transitional Justice report urges a formal Historical Inquiry Mechanism to document abuses, examine systemic failures and centre survivors. </w:t>
      </w:r>
      <w:r/>
    </w:p>
    <w:p>
      <w:pPr>
        <w:pStyle w:val="ListBullet"/>
        <w:spacing w:line="240" w:lineRule="auto"/>
        <w:ind w:left="720"/>
      </w:pPr>
      <w:r/>
      <w:r>
        <w:rPr>
          <w:b/>
        </w:rPr>
        <w:t>Redress model:</w:t>
      </w:r>
      <w:r>
        <w:t xml:space="preserve"> The paper recommends tiered compensation tied to arrests, charges or convictions, alongside expungement processes. </w:t>
      </w:r>
      <w:r/>
    </w:p>
    <w:p>
      <w:pPr>
        <w:pStyle w:val="ListBullet"/>
        <w:spacing w:line="240" w:lineRule="auto"/>
        <w:ind w:left="720"/>
      </w:pPr>
      <w:r/>
      <w:r>
        <w:rPr>
          <w:b/>
        </w:rPr>
        <w:t>Public memory:</w:t>
      </w:r>
      <w:r>
        <w:t xml:space="preserve"> A memorial and commemorative programs are proposed to keep the history visible and teach future generations. </w:t>
      </w:r>
      <w:r/>
    </w:p>
    <w:p>
      <w:pPr>
        <w:pStyle w:val="ListBullet"/>
        <w:spacing w:line="240" w:lineRule="auto"/>
        <w:ind w:left="720"/>
      </w:pPr>
      <w:r/>
      <w:r>
        <w:rPr>
          <w:b/>
        </w:rPr>
        <w:t>Contemporary link:</w:t>
      </w:r>
      <w:r>
        <w:t xml:space="preserve"> Recommendations connect historical harms to today’s spike in anti-LGBTQIA+ hate crimes, arguing remembrance helps prevent repetition.</w:t>
      </w:r>
      <w:r/>
      <w:r/>
    </w:p>
    <w:p>
      <w:pPr>
        <w:pStyle w:val="Heading2"/>
      </w:pPr>
      <w:r>
        <w:t>Why a formal inquiry matters now</w:t>
      </w:r>
      <w:r/>
    </w:p>
    <w:p>
      <w:r/>
      <w:r>
        <w:t>The strongest case in the RMIT report is that names and dates alone aren’t enough; a public, state-led inquiry creates an authoritative record and a space for survivors to be heard. That matters because memories of raids, surveillance and forced confessions are still raw for many , the Tasty nightclub raid and other episodes left a bitter, tactile memory of fear and violation. According to advocates, without an official mechanism those harms risk being dismissed as anecdote rather than systemic wrongdoing. A properly funded inquiry could identify patterns, recommend policing reforms and reassure communities that the state takes responsibility.</w:t>
      </w:r>
      <w:r/>
    </w:p>
    <w:p>
      <w:pPr>
        <w:pStyle w:val="Heading2"/>
      </w:pPr>
      <w:r>
        <w:t>Redress , not just an apology but practical compensation</w:t>
      </w:r>
      <w:r/>
    </w:p>
    <w:p>
      <w:r/>
      <w:r>
        <w:t>Apologies have symbolic value, but the report argues compensation tied to the nature of past harm would be more meaningful to survivors. The suggested tiered system , payments for arrest, charge or conviction , mirrors recent moves elsewhere in Australia, and would work alongside expungement schemes that clear historical convictions. Expungement already exists in places and frees people from legal stains, but compensation recognises non-legal damages: lost work, family breakdown, mental health impacts. For victims, this is about dignity and practical repair, and policymakers should look at Tasmania’s recent approach as a template.</w:t>
      </w:r>
      <w:r/>
    </w:p>
    <w:p>
      <w:pPr>
        <w:pStyle w:val="Heading2"/>
      </w:pPr>
      <w:r>
        <w:t>Memorials and public education to prevent forgetting</w:t>
      </w:r>
      <w:r/>
    </w:p>
    <w:p>
      <w:r/>
      <w:r>
        <w:t>A physical memorial and a programme of commemorations are low-tech but high-impact measures the report recommends. Memorials give grief a civic space and make historical crimes visible to passers-by; educational initiatives turn that visibility into learning. Human Rights Victoria’s ongoing LGBTIQA+ rights work shows how law reform pairs well with awareness-raising, and a memorial would sit alongside policy actions to ensure the story reaches schools, media and police training. Remembering, the report implies, is also prevention.</w:t>
      </w:r>
      <w:r/>
    </w:p>
    <w:p>
      <w:pPr>
        <w:pStyle w:val="Heading2"/>
      </w:pPr>
      <w:r>
        <w:t>Linking the past to today’s violence</w:t>
      </w:r>
      <w:r/>
    </w:p>
    <w:p>
      <w:r/>
      <w:r>
        <w:t>The report explicitly connects historic state-led harms with the current spike in anti-LGBTQIA+ hate crimes, arguing that understanding institutional legacies helps explain why targeted communities remain vulnerable. Victoria’s parliamentary inquiry into recent app-based attacks shows policymakers are awake to present dangers, but the RMIT authors caution that short-term policing responses won’t address deeper mistrust or the roots of bias. Repair measures therefore aim both to heal the past and strengthen trust for the future, so victims feel they can report crimes and rely on a fair response.</w:t>
      </w:r>
      <w:r/>
    </w:p>
    <w:p>
      <w:pPr>
        <w:pStyle w:val="Heading2"/>
      </w:pPr>
      <w:r>
        <w:t>How this could change daily life for queer Victorians</w:t>
      </w:r>
      <w:r/>
    </w:p>
    <w:p>
      <w:r/>
      <w:r>
        <w:t>If adopted, the recommendations would mean clearer avenues for people seeking expungement, access to compensation, and a public record that validates lived experience. For older LGBTIQA+ Victorians, it might finally mean recognition for lives interrupted by police action; for younger people it could create a public narrative that discourages discrimination. Practical steps include expanding outreach so survivors know how to apply for redress, training frontline services in trauma-informed care, and embedding queer histories in school curricula. It’s the kind of policy mix that shifts culture as much as it shifts paperwork.</w:t>
      </w:r>
      <w:r/>
    </w:p>
    <w:p>
      <w:r/>
      <w:r>
        <w:t>It's a small change that can make every act of recognition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https://www.starobserver.com.au/news/historic-hate-crimes-report-victoria/241546</w:t>
        </w:r>
      </w:hyperlink>
      <w:r>
        <w:t xml:space="preserve"> - Please view link - unable to able to access data</w:t>
      </w:r>
      <w:r/>
    </w:p>
    <w:p>
      <w:pPr>
        <w:pStyle w:val="ListNumber"/>
        <w:spacing w:line="240" w:lineRule="auto"/>
        <w:ind w:left="720"/>
      </w:pPr>
      <w:r/>
      <w:hyperlink r:id="rId10">
        <w:r>
          <w:rPr>
            <w:color w:val="0000EE"/>
            <w:u w:val="single"/>
          </w:rPr>
          <w:t>https://en.wikipedia.org/wiki/Tasty_nightclub_raid</w:t>
        </w:r>
      </w:hyperlink>
      <w:r>
        <w:t xml:space="preserve"> - The Tasty nightclub raid occurred on 7 August 1994 in Melbourne, Australia, when 463 patrons were detained, strip-searched, and cavity-searched by Victoria Police. The operation, known as 'Operation Maze', lasted seven hours and resulted in two drug-related arrests, all charges later dropped. The raid was widely criticised, leading to a class action lawsuit and a public apology from Victoria Police in 2014. The incident has been described as 'Australia's Stonewall', highlighting systemic issues within the police force and the LGBTQIA+ community's struggle for rights.</w:t>
      </w:r>
      <w:r/>
    </w:p>
    <w:p>
      <w:pPr>
        <w:pStyle w:val="ListNumber"/>
        <w:spacing w:line="240" w:lineRule="auto"/>
        <w:ind w:left="720"/>
      </w:pPr>
      <w:r/>
      <w:hyperlink r:id="rId11">
        <w:r>
          <w:rPr>
            <w:color w:val="0000EE"/>
            <w:u w:val="single"/>
          </w:rPr>
          <w:t>https://www.humanrights.vic.gov.au/legal-and-policy/advocacy-and-law-reform/promoting-the-rights-of-lgbtiq-victorians/</w:t>
        </w:r>
      </w:hyperlink>
      <w:r>
        <w:t xml:space="preserve"> - The Victorian Equal Opportunity and Human Rights Commission advocates for the rights of LGBTIQ Victorians, aiming to eliminate discrimination and promote equality. Recent reforms include amending the Equal Opportunity Act 2010 to better protect LGBTIQ individuals, particularly in religious schools and institutions. The Commission also addresses issues such as change or suppression practices, which attempt to alter an individual's sexual orientation or gender identity, and works towards creating a more inclusive environment for all Victorians.</w:t>
      </w:r>
      <w:r/>
    </w:p>
    <w:p>
      <w:pPr>
        <w:pStyle w:val="ListNumber"/>
        <w:spacing w:line="240" w:lineRule="auto"/>
        <w:ind w:left="720"/>
      </w:pPr>
      <w:r/>
      <w:hyperlink r:id="rId15">
        <w:r>
          <w:rPr>
            <w:color w:val="0000EE"/>
            <w:u w:val="single"/>
          </w:rPr>
          <w:t>https://www.humanrights.vic.gov.au/change-or-suppression-practices/have-you-experienced-a-change-or-suppression-practice/</w:t>
        </w:r>
      </w:hyperlink>
      <w:r>
        <w:t xml:space="preserve"> - The Victorian Equal Opportunity and Human Rights Commission provides resources for individuals who have experienced change or suppression practices, which aim to alter or suppress a person's sexual orientation or gender identity. The Commission offers guidance on recognising such practices, understanding their impacts, and reporting them. It also provides information on legal protections and support services available to those affected, emphasising the importance of living authentically and with pride.</w:t>
      </w:r>
      <w:r/>
    </w:p>
    <w:p>
      <w:pPr>
        <w:pStyle w:val="ListNumber"/>
        <w:spacing w:line="240" w:lineRule="auto"/>
        <w:ind w:left="720"/>
      </w:pPr>
      <w:r/>
      <w:hyperlink r:id="rId12">
        <w:r>
          <w:rPr>
            <w:color w:val="0000EE"/>
            <w:u w:val="single"/>
          </w:rPr>
          <w:t>https://www.vic.gov.au/victorian-lgbtiqa-strategy</w:t>
        </w:r>
      </w:hyperlink>
      <w:r>
        <w:t xml:space="preserve"> - The Victorian Government's LGBTIQA+ Strategy is a 10-year plan developed with input from over 1,600 LGBTIQA+ Victorians, their families, advocates, and allies. The strategy aims to improve the lives of LGBTIQA+ communities by addressing issues such as discrimination, stigma, and exclusion, which can lead to poorer health and social outcomes. It focuses on creating a more inclusive and supportive environment for LGBTIQA+ individuals across Victoria.</w:t>
      </w:r>
      <w:r/>
    </w:p>
    <w:p>
      <w:pPr>
        <w:pStyle w:val="ListNumber"/>
        <w:spacing w:line="240" w:lineRule="auto"/>
        <w:ind w:left="720"/>
      </w:pPr>
      <w:r/>
      <w:hyperlink r:id="rId14">
        <w:r>
          <w:rPr>
            <w:color w:val="0000EE"/>
            <w:u w:val="single"/>
          </w:rPr>
          <w:t>https://www.humanrights.vic.gov.au/news/change-or-suppression-conversion-practices-prohibition-act-2021/</w:t>
        </w:r>
      </w:hyperlink>
      <w:r>
        <w:t xml:space="preserve"> - The Change or Suppression (Conversion) Practices Prohibition Act 2021, effective from 17 February 2022, bans practices that attempt to change or suppress an individual's sexual orientation or gender identity in Victoria. The Act aims to prevent harm and promote justice for LGBTIQ+ Victorians, sending a clear message that such practices are unacceptable and harmful. The Victorian Equal Opportunity and Human Rights Commission supports the Act and provides resources for those affected.</w:t>
      </w:r>
      <w:r/>
    </w:p>
    <w:p>
      <w:pPr>
        <w:pStyle w:val="ListNumber"/>
        <w:spacing w:line="240" w:lineRule="auto"/>
        <w:ind w:left="720"/>
      </w:pPr>
      <w:r/>
      <w:hyperlink r:id="rId13">
        <w:r>
          <w:rPr>
            <w:color w:val="0000EE"/>
            <w:u w:val="single"/>
          </w:rPr>
          <w:t>https://www.humanrights.vic.gov.au/human-rights/lgbti-rights</w:t>
        </w:r>
      </w:hyperlink>
      <w:r>
        <w:t xml:space="preserve"> - The Victorian Equal Opportunity and Human Rights Commission upholds the rights of LGBTIQ individuals, ensuring equal opportunity and protection against discrimination based on sexual orientation or gender identity. The Commission addresses various topics, including expunged homosexual convictions, gender identity, lawful sexual activity, and the right to freedom of expression. It provides guidance and support to promote understanding and inclusivity for all Victorians.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historic-hate-crimes-report-victoria/241546" TargetMode="External"/><Relationship Id="rId10" Type="http://schemas.openxmlformats.org/officeDocument/2006/relationships/hyperlink" Target="https://en.wikipedia.org/wiki/Tasty_nightclub_raid" TargetMode="External"/><Relationship Id="rId11" Type="http://schemas.openxmlformats.org/officeDocument/2006/relationships/hyperlink" Target="https://www.humanrights.vic.gov.au/legal-and-policy/advocacy-and-law-reform/promoting-the-rights-of-lgbtiq-victorians/" TargetMode="External"/><Relationship Id="rId12" Type="http://schemas.openxmlformats.org/officeDocument/2006/relationships/hyperlink" Target="https://www.vic.gov.au/victorian-lgbtiqa-strategy" TargetMode="External"/><Relationship Id="rId13" Type="http://schemas.openxmlformats.org/officeDocument/2006/relationships/hyperlink" Target="https://www.humanrights.vic.gov.au/human-rights/lgbti-rights" TargetMode="External"/><Relationship Id="rId14" Type="http://schemas.openxmlformats.org/officeDocument/2006/relationships/hyperlink" Target="https://www.humanrights.vic.gov.au/news/change-or-suppression-conversion-practices-prohibition-act-2021/" TargetMode="External"/><Relationship Id="rId15" Type="http://schemas.openxmlformats.org/officeDocument/2006/relationships/hyperlink" Target="https://www.humanrights.vic.gov.au/change-or-suppression-practices/have-you-experienced-a-change-or-suppression-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