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Steps for LGBT Families in Australia: Practical Rights and Planning Tips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certainty are turning to clear legal planning as marriage equality settles in, with LGBT families across Australia needing practical steps to protect finances, parenting rights and long-term security. This guide explains what matters, where the law helps, and simple actions to reduce stress if relationships change.</w:t>
      </w:r>
      <w:r/>
    </w:p>
    <w:p>
      <w:r/>
      <w:r>
        <w:t>Essential Takeaways</w:t>
      </w:r>
      <w:r/>
      <w:r/>
    </w:p>
    <w:p>
      <w:pPr>
        <w:pStyle w:val="ListBullet"/>
        <w:spacing w:line="240" w:lineRule="auto"/>
        <w:ind w:left="720"/>
      </w:pPr>
      <w:r/>
      <w:r>
        <w:rPr>
          <w:b/>
        </w:rPr>
        <w:t>De facto rights:</w:t>
      </w:r>
      <w:r>
        <w:t xml:space="preserve"> Couples living together can have the same property and maintenance rights as married couples after meeting time or contribution tests, so cohabitation matters.</w:t>
      </w:r>
      <w:r/>
    </w:p>
    <w:p>
      <w:pPr>
        <w:pStyle w:val="ListBullet"/>
        <w:spacing w:line="240" w:lineRule="auto"/>
        <w:ind w:left="720"/>
      </w:pPr>
      <w:r/>
      <w:r>
        <w:rPr>
          <w:b/>
        </w:rPr>
        <w:t>Put it in writing:</w:t>
      </w:r>
      <w:r>
        <w:t xml:space="preserve"> Financial agreements and cohabitation agreements offer clarity and can prevent costly disputes later; they feel practical, not cold.</w:t>
      </w:r>
      <w:r/>
    </w:p>
    <w:p>
      <w:pPr>
        <w:pStyle w:val="ListBullet"/>
        <w:spacing w:line="240" w:lineRule="auto"/>
        <w:ind w:left="720"/>
      </w:pPr>
      <w:r/>
      <w:r>
        <w:rPr>
          <w:b/>
        </w:rPr>
        <w:t>Parentage paperwork:</w:t>
      </w:r>
      <w:r>
        <w:t xml:space="preserve"> Parents formed through assisted reproduction or surrogacy should confirm legal parentage early to avoid uncertainty over custody or citizenship.</w:t>
      </w:r>
      <w:r/>
    </w:p>
    <w:p>
      <w:pPr>
        <w:pStyle w:val="ListBullet"/>
        <w:spacing w:line="240" w:lineRule="auto"/>
        <w:ind w:left="720"/>
      </w:pPr>
      <w:r/>
      <w:r>
        <w:rPr>
          <w:b/>
        </w:rPr>
        <w:t>Get informed:</w:t>
      </w:r>
      <w:r>
        <w:t xml:space="preserve"> Many problems come from misunderstanding entitlements; education and early legal advice save time, money and worry.</w:t>
      </w:r>
      <w:r/>
    </w:p>
    <w:p>
      <w:pPr>
        <w:pStyle w:val="ListBullet"/>
        <w:spacing w:line="240" w:lineRule="auto"/>
        <w:ind w:left="720"/>
      </w:pPr>
      <w:r/>
      <w:r>
        <w:rPr>
          <w:b/>
        </w:rPr>
        <w:t>Law needs to catch up:</w:t>
      </w:r>
      <w:r>
        <w:t xml:space="preserve"> Legislative change and clearer guidance would make marriage equality more meaningful in everyday legal situations.</w:t>
      </w:r>
      <w:r/>
      <w:r/>
    </w:p>
    <w:p>
      <w:pPr>
        <w:pStyle w:val="Heading2"/>
      </w:pPr>
      <w:r>
        <w:t>Why marriage equality wasn’t the finish line</w:t>
      </w:r>
      <w:r/>
    </w:p>
    <w:p>
      <w:r/>
      <w:r>
        <w:t>Marriage gave symbolic recognition and important rights, but it didn’t automatically rewrite decades of family law built around a two-parent, heterosexual model. That mismatch leaves some LGBT families feeling secure on paper but vulnerable in practice, especially when relationships end. The insight here is simple: rights exist, but they often rest on conditions, like length of cohabitation or demonstrated contributions, that people don’t always appreciate. For many couples, that gap shows up as surprise and stress during separation.</w:t>
      </w:r>
      <w:r/>
    </w:p>
    <w:p>
      <w:pPr>
        <w:pStyle w:val="Heading2"/>
      </w:pPr>
      <w:r>
        <w:t>De facto status: what it really means for property and money</w:t>
      </w:r>
      <w:r/>
    </w:p>
    <w:p>
      <w:r/>
      <w:r>
        <w:t>If you live together, the law can treat you like a married couple for property settlements and spousal maintenance, provided you meet the usual tests, often two years’ cohabitation, or less where children or significant financial contributions exist. That’s a relief if you know it, and a shock if you don’t. So, practical tip: document shared expenses, joint accounts and contributions to property or businesses. Those records make the “we were a partnership” story much easier to prove and cut the chance of a prolonged dispute.</w:t>
      </w:r>
      <w:r/>
    </w:p>
    <w:p>
      <w:pPr>
        <w:pStyle w:val="Heading2"/>
      </w:pPr>
      <w:r>
        <w:t>Financial agreements: prenups aren’t just for the wealthy</w:t>
      </w:r>
      <w:r/>
    </w:p>
    <w:p>
      <w:r/>
      <w:r>
        <w:t>Financial agreements (prenups or postnups) let couples set rules about property, debts and maintenance before problems arise. For LGBT couples, who may bring separate assets, businesses or children into a relationship, these agreements offer certainty and dignity. They’re not romantic, but they are deeply practical: clear expectations reduce resentment and litigation. Start with a lawyer who understands your family type; small, well-drafted clauses can prevent big headaches later.</w:t>
      </w:r>
      <w:r/>
    </w:p>
    <w:p>
      <w:pPr>
        <w:pStyle w:val="Heading2"/>
      </w:pPr>
      <w:r>
        <w:t>Parenting and parentage: plan before the joyful chaos</w:t>
      </w:r>
      <w:r/>
    </w:p>
    <w:p>
      <w:r/>
      <w:r>
        <w:t>Many modern families involve assisted reproduction, surrogacy, step-parents and multiple carers, yet the law still often assumes two legal parents. That creates friction: who makes medical decisions, what happens if you separate, which passports or citizenships apply after international surrogacy? The answer is to take steps early, register parentage where possible, get court orders that reflect parental intention if needed, and formalise arrangements for carers who will act as parents. It’s about protecting kids’ stability, and it’s surprisingly easy to start.</w:t>
      </w:r>
      <w:r/>
    </w:p>
    <w:p>
      <w:pPr>
        <w:pStyle w:val="Heading2"/>
      </w:pPr>
      <w:r>
        <w:t>Awareness, education and the push for clearer laws</w:t>
      </w:r>
      <w:r/>
    </w:p>
    <w:p>
      <w:r/>
      <w:r>
        <w:t>A big part of the problem isn’t missing rights but missing knowledge. Human Rights Commission work shows many same-sex couples aren’t sure what entitlements they have. Family lawyers can translate the law into everyday choices, what to sign, what records to keep, when to seek orders. Meanwhile, advocates argue legislation needs updating to reflect blended, multi-parent and assisted-reproduction families more clearly. That combination, better laws plus better advice, would make equality less symbolic and more day-to-day.</w:t>
      </w:r>
      <w:r/>
    </w:p>
    <w:p>
      <w:pPr>
        <w:pStyle w:val="Heading2"/>
      </w:pPr>
      <w:r>
        <w:t>Practical checklist: what to do this year</w:t>
      </w:r>
      <w:r/>
      <w:r/>
    </w:p>
    <w:p>
      <w:pPr>
        <w:pStyle w:val="ListBullet"/>
        <w:spacing w:line="240" w:lineRule="auto"/>
        <w:ind w:left="720"/>
      </w:pPr>
      <w:r/>
      <w:r>
        <w:t>Keep joint records: bank statements, bills, mortgage contributions and invoices for home work.</w:t>
      </w:r>
      <w:r/>
    </w:p>
    <w:p>
      <w:pPr>
        <w:pStyle w:val="ListBullet"/>
        <w:spacing w:line="240" w:lineRule="auto"/>
        <w:ind w:left="720"/>
      </w:pPr>
      <w:r/>
      <w:r>
        <w:t>Get advice before major moves: buying property, starting a business or using donor conception or surrogacy.</w:t>
      </w:r>
      <w:r/>
    </w:p>
    <w:p>
      <w:pPr>
        <w:pStyle w:val="ListBullet"/>
        <w:spacing w:line="240" w:lineRule="auto"/>
        <w:ind w:left="720"/>
      </w:pPr>
      <w:r/>
      <w:r>
        <w:t>Consider a written financial agreement tailored to your circumstances.</w:t>
      </w:r>
      <w:r/>
    </w:p>
    <w:p>
      <w:pPr>
        <w:pStyle w:val="ListBullet"/>
        <w:spacing w:line="240" w:lineRule="auto"/>
        <w:ind w:left="720"/>
      </w:pPr>
      <w:r/>
      <w:r>
        <w:t>Confirm legal parentage early and secure parenting orders if needed.</w:t>
      </w:r>
      <w:r/>
    </w:p>
    <w:p>
      <w:pPr>
        <w:pStyle w:val="ListBullet"/>
        <w:spacing w:line="240" w:lineRule="auto"/>
        <w:ind w:left="720"/>
      </w:pPr>
      <w:r/>
      <w:r>
        <w:t>Seek a lawyer experienced with LGBT family structures and ask about mediation before heading to court.</w:t>
      </w:r>
      <w:r/>
      <w:r/>
    </w:p>
    <w:p>
      <w:r/>
      <w:r>
        <w:t>It's a small set of steps that can turn symbolic equality into real security for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https://www.lawyersweekly.com.au/sme-law/44122-beyond-marriage-equality-closing-the-legal-gaps-facing-lgbt-families</w:t>
        </w:r>
      </w:hyperlink>
      <w:r>
        <w:t xml:space="preserve"> - Please view link - unable to able to access data</w:t>
      </w:r>
      <w:r/>
    </w:p>
    <w:p>
      <w:pPr>
        <w:pStyle w:val="ListNumber"/>
        <w:spacing w:line="240" w:lineRule="auto"/>
        <w:ind w:left="720"/>
      </w:pPr>
      <w:r/>
      <w:hyperlink r:id="rId10">
        <w:r>
          <w:rPr>
            <w:color w:val="0000EE"/>
            <w:u w:val="single"/>
          </w:rPr>
          <w:t>https://humanrights.gov.au/our-work/publications/same-sex-community-guide</w:t>
        </w:r>
      </w:hyperlink>
      <w:r>
        <w:t xml:space="preserve"> - This guide by the Australian Human Rights Commission outlines the legal challenges faced by same-sex couples in Australia, particularly in family law. It highlights issues such as discrimination in property division during separations, the lack of recognition for same-sex parents in child support matters, and the complexities arising from the assumption of two legal parents in the law. The guide emphasizes the need for legislative reforms to ensure equal treatment and protection for same-sex families under Australian law.</w:t>
      </w:r>
      <w:r/>
    </w:p>
    <w:p>
      <w:pPr>
        <w:pStyle w:val="ListNumber"/>
        <w:spacing w:line="240" w:lineRule="auto"/>
        <w:ind w:left="720"/>
      </w:pPr>
      <w:r/>
      <w:hyperlink r:id="rId11">
        <w:r>
          <w:rPr>
            <w:color w:val="0000EE"/>
            <w:u w:val="single"/>
          </w:rPr>
          <w:t>https://www.humanrights.gov.au/our-work/publications/same-sex-same-entitlements-chapter-1</w:t>
        </w:r>
      </w:hyperlink>
      <w:r>
        <w:t xml:space="preserve"> - Chapter 1 of the Australian Human Rights Commission's report 'Same-Sex: Same Entitlements' discusses the discrimination faced by same-sex couples and their children in Australia. It details how federal laws exclude same-sex couples from various financial and work-related entitlements, such as tax concessions and superannuation benefits, by not recognising them as 'spouses' or 'members of a couple'. The chapter calls for legislative changes to address these disparities and uphold human rights principles of equality and non-discrimination.</w:t>
      </w:r>
      <w:r/>
    </w:p>
    <w:p>
      <w:pPr>
        <w:pStyle w:val="ListNumber"/>
        <w:spacing w:line="240" w:lineRule="auto"/>
        <w:ind w:left="720"/>
      </w:pPr>
      <w:r/>
      <w:hyperlink r:id="rId12">
        <w:r>
          <w:rPr>
            <w:color w:val="0000EE"/>
            <w:u w:val="single"/>
          </w:rPr>
          <w:t>https://www.humanrights.gov.au/our-work/publications/same-sex-same-entitlements-chapter-3</w:t>
        </w:r>
      </w:hyperlink>
      <w:r>
        <w:t xml:space="preserve"> - Chapter 3 of the Australian Human Rights Commission's report examines how discrimination against same-sex couples and parents interferes with the right to protection of family. It discusses how laws that exclude same-sex families from definitions of 'spouse' or 'parent' can breach international human rights obligations. The chapter advocates for legal reforms to ensure that same-sex families receive the same protection and assistance as opposite-sex families, in line with human rights standards.</w:t>
      </w:r>
      <w:r/>
    </w:p>
    <w:p>
      <w:pPr>
        <w:pStyle w:val="ListNumber"/>
        <w:spacing w:line="240" w:lineRule="auto"/>
        <w:ind w:left="720"/>
      </w:pPr>
      <w:r/>
      <w:hyperlink r:id="rId13">
        <w:r>
          <w:rPr>
            <w:color w:val="0000EE"/>
            <w:u w:val="single"/>
          </w:rPr>
          <w:t>https://www.humanrights.gov.au/our-work/publications/same-sex-same-entitlements-chapter-12</w:t>
        </w:r>
      </w:hyperlink>
      <w:r>
        <w:t xml:space="preserve"> - Chapter 12 of the Australian Human Rights Commission's report focuses on family law issues affecting same-sex couples. It highlights the inability of same-sex couples to access the federal Family Court for property settlements, leading to additional costs and less comprehensive settlements. The chapter also addresses challenges in child support and parental responsibility, advocating for legislative amendments to ensure equal treatment and protection for same-sex families under Australian law.</w:t>
      </w:r>
      <w:r/>
    </w:p>
    <w:p>
      <w:pPr>
        <w:pStyle w:val="ListNumber"/>
        <w:spacing w:line="240" w:lineRule="auto"/>
        <w:ind w:left="720"/>
      </w:pPr>
      <w:r/>
      <w:hyperlink r:id="rId14">
        <w:r>
          <w:rPr>
            <w:color w:val="0000EE"/>
            <w:u w:val="single"/>
          </w:rPr>
          <w:t>https://www.humanrights.gov.au/our-work/publications/same-sex-same-entitlements-chapter-8</w:t>
        </w:r>
      </w:hyperlink>
      <w:r>
        <w:t xml:space="preserve"> - Chapter 8 of the Australian Human Rights Commission's report discusses the tax implications for same-sex couples during relationship breakdowns. It points out that same-sex couples are not eligible for favourable tax treatments available to opposite-sex couples when transferring property to a 'spouse' or 'former spouse'. The chapter calls for legislative changes to address these disparities and ensure equal treatment for same-sex families in tax matters.</w:t>
      </w:r>
      <w:r/>
    </w:p>
    <w:p>
      <w:pPr>
        <w:pStyle w:val="ListNumber"/>
        <w:spacing w:line="240" w:lineRule="auto"/>
        <w:ind w:left="720"/>
      </w:pPr>
      <w:r/>
      <w:hyperlink r:id="rId15">
        <w:r>
          <w:rPr>
            <w:color w:val="0000EE"/>
            <w:u w:val="single"/>
          </w:rPr>
          <w:t>https://www.humanrights.gov.au/our-work/publications/same-sex-same-entitlements-chapter-4</w:t>
        </w:r>
      </w:hyperlink>
      <w:r>
        <w:t xml:space="preserve"> - Chapter 4 of the Australian Human Rights Commission's report examines how definitions of 'spouse' and 'marital relationship' in Australian legislation exclude same-sex partners. It discusses how terms like 'husband or wife' in legal definitions can prevent same-sex couples from accessing rights and benefits available to opposite-sex couples. The chapter recommends legislative reforms to ensure that same-sex couples are recognised and entitled to the same protections under the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yersweekly.com.au/sme-law/44122-beyond-marriage-equality-closing-the-legal-gaps-facing-lgbt-families" TargetMode="External"/><Relationship Id="rId10" Type="http://schemas.openxmlformats.org/officeDocument/2006/relationships/hyperlink" Target="https://humanrights.gov.au/our-work/publications/same-sex-community-guide" TargetMode="External"/><Relationship Id="rId11" Type="http://schemas.openxmlformats.org/officeDocument/2006/relationships/hyperlink" Target="https://www.humanrights.gov.au/our-work/publications/same-sex-same-entitlements-chapter-1" TargetMode="External"/><Relationship Id="rId12" Type="http://schemas.openxmlformats.org/officeDocument/2006/relationships/hyperlink" Target="https://www.humanrights.gov.au/our-work/publications/same-sex-same-entitlements-chapter-3" TargetMode="External"/><Relationship Id="rId13" Type="http://schemas.openxmlformats.org/officeDocument/2006/relationships/hyperlink" Target="https://www.humanrights.gov.au/our-work/publications/same-sex-same-entitlements-chapter-12" TargetMode="External"/><Relationship Id="rId14" Type="http://schemas.openxmlformats.org/officeDocument/2006/relationships/hyperlink" Target="https://www.humanrights.gov.au/our-work/publications/same-sex-same-entitlements-chapter-8" TargetMode="External"/><Relationship Id="rId15" Type="http://schemas.openxmlformats.org/officeDocument/2006/relationships/hyperlink" Target="https://www.humanrights.gov.au/our-work/publications/same-sex-same-entitlements-chapter-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