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Guides to Understanding Honor Killings and LGBTQ+ Women: Intersectional Realities Explained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Shining a light on a hidden crisis, this guide looks at who is most at risk, why honour killings continue, and what practical policy and community steps can help protect LGBTQ+ women and other marginalised people. It matters because lives and freedoms depend on recognising intersecting vulnerabilities.</w:t>
      </w:r>
      <w:r/>
    </w:p>
    <w:p>
      <w:r/>
      <w:r>
        <w:t>Essential Takeaways</w:t>
      </w:r>
      <w:r/>
      <w:r/>
    </w:p>
    <w:p>
      <w:pPr>
        <w:pStyle w:val="ListBullet"/>
        <w:spacing w:line="240" w:lineRule="auto"/>
        <w:ind w:left="720"/>
      </w:pPr>
      <w:r/>
      <w:r>
        <w:rPr>
          <w:b/>
        </w:rPr>
        <w:t>Widening risk:</w:t>
      </w:r>
      <w:r>
        <w:t xml:space="preserve"> Honour killings and forced marriages disproportionately affect women, LGBTQ+ people, people of colour and the poor, who face overlapping prejudice and control.</w:t>
      </w:r>
      <w:r/>
    </w:p>
    <w:p>
      <w:pPr>
        <w:pStyle w:val="ListBullet"/>
        <w:spacing w:line="240" w:lineRule="auto"/>
        <w:ind w:left="720"/>
      </w:pPr>
      <w:r/>
      <w:r>
        <w:rPr>
          <w:b/>
        </w:rPr>
        <w:t>Law isn’t enough:</w:t>
      </w:r>
      <w:r>
        <w:t xml:space="preserve"> Criminal codes exist in many places, yet cultural and family practices mean violence persists despite legislation.</w:t>
      </w:r>
      <w:r/>
    </w:p>
    <w:p>
      <w:pPr>
        <w:pStyle w:val="ListBullet"/>
        <w:spacing w:line="240" w:lineRule="auto"/>
        <w:ind w:left="720"/>
      </w:pPr>
      <w:r/>
      <w:r>
        <w:rPr>
          <w:b/>
        </w:rPr>
        <w:t>Compounded harms:</w:t>
      </w:r>
      <w:r>
        <w:t xml:space="preserve"> Black and gender-nonconforming people, especially trans individuals, face higher risks and worse public‑health and mental‑health outcomes.</w:t>
      </w:r>
      <w:r/>
    </w:p>
    <w:p>
      <w:pPr>
        <w:pStyle w:val="ListBullet"/>
        <w:spacing w:line="240" w:lineRule="auto"/>
        <w:ind w:left="720"/>
      </w:pPr>
      <w:r/>
      <w:r>
        <w:rPr>
          <w:b/>
        </w:rPr>
        <w:t>Practical protections:</w:t>
      </w:r>
      <w:r>
        <w:t xml:space="preserve"> Early intervention, culturally competent services, and laws that centre survivors’ safety, not shame, are key.</w:t>
      </w:r>
      <w:r/>
    </w:p>
    <w:p>
      <w:pPr>
        <w:pStyle w:val="ListBullet"/>
        <w:spacing w:line="240" w:lineRule="auto"/>
        <w:ind w:left="720"/>
      </w:pPr>
      <w:r/>
      <w:r>
        <w:rPr>
          <w:b/>
        </w:rPr>
        <w:t>Community role:</w:t>
      </w:r>
      <w:r>
        <w:t xml:space="preserve"> NGOs, health services and schools play a crucial part in prevention, reporting and supporting survivors in safe, non‑judgemental ways.</w:t>
      </w:r>
      <w:r/>
      <w:r/>
    </w:p>
    <w:p>
      <w:pPr>
        <w:pStyle w:val="Heading2"/>
      </w:pPr>
      <w:r>
        <w:t>Why honour killings still happen , and who they target</w:t>
      </w:r>
      <w:r/>
    </w:p>
    <w:p>
      <w:r/>
      <w:r>
        <w:t>Honour killings aren’t isolated crimes; they’re the brutal end point of social systems that police gender and sexuality, often in the name of family reputation. According to reporting and NGO analysis, women, LGBTQ+ people, people of colour and economically marginalised groups are particularly vulnerable, because multiple layers of stigma and control stack against them. The result is a quiet, terrible calculus: non‑conformity becomes justification for violence.</w:t>
      </w:r>
      <w:r/>
    </w:p>
    <w:p>
      <w:r/>
      <w:r>
        <w:t>This continuity of violence persists even where criminal laws have changed, because laws alone don’t uproot social attitudes or family dynamics. That’s why defenders of survivors increasingly argue for a two‑pronged approach: enforce the law where it’s needed, and fund community‑based prevention where it can shift norms before violence occurs.</w:t>
      </w:r>
      <w:r/>
    </w:p>
    <w:p>
      <w:pPr>
        <w:pStyle w:val="Heading2"/>
      </w:pPr>
      <w:r>
        <w:t>The intersection of gender and sexual orientation: how risks overlap</w:t>
      </w:r>
      <w:r/>
    </w:p>
    <w:p>
      <w:r/>
      <w:r>
        <w:t>Sexual orientation and gender identity shape the ways people are punished for stepping outside expected roles. Research shows that family‑based honour violence and targeted attacks on LGBTQ+ people are entwined; being both a woman and queer, or a trans person of colour, multiplies danger. For many survivors, the threat starts at home, rejection, forced marriages, or coercive control, and can escalate into trafficking or physical assault.</w:t>
      </w:r>
      <w:r/>
    </w:p>
    <w:p>
      <w:r/>
      <w:r>
        <w:t>Practical takeaway: services and shelters must recognise these intersecting risks rather than treating gender‑based violence and anti‑LGBTQ+ violence as separate problems. That means safe referrals, training for frontline workers, and confidentiality protocols that reflect real fear of family reprisal.</w:t>
      </w:r>
      <w:r/>
    </w:p>
    <w:p>
      <w:pPr>
        <w:pStyle w:val="Heading2"/>
      </w:pPr>
      <w:r>
        <w:t>Race, class and transphobia: who faces the steepest odds</w:t>
      </w:r>
      <w:r/>
    </w:p>
    <w:p>
      <w:r/>
      <w:r>
        <w:t>Race and class don’t just add another line to a police report; they change how violence is perceived, policed and prevented. Studies of homicide and assault victimisation show Black women and Black LGBTQ+ people often face violence explicitly motivated by both race and gender or gender identity. Transphobia in particular drives severe, sometimes fatal assaults, and gender‑nonconforming people can be pushed to the margins of services.</w:t>
      </w:r>
      <w:r/>
    </w:p>
    <w:p>
      <w:r/>
      <w:r>
        <w:t>This is why intersectional policy matters: anti‑violence programmes that ignore race or class barriers risk leaving the most vulnerable people unprotected. Funders and policymakers should target outreach and culturally appropriate mental‑health care where it’s most needed.</w:t>
      </w:r>
      <w:r/>
    </w:p>
    <w:p>
      <w:pPr>
        <w:pStyle w:val="Heading2"/>
      </w:pPr>
      <w:r>
        <w:t>Why legal reform is necessary but not sufficient</w:t>
      </w:r>
      <w:r/>
    </w:p>
    <w:p>
      <w:r/>
      <w:r>
        <w:t>Many countries have updated penal codes to criminalise honour‑based violence and forced marriage, and those laws are essential. But human‑rights advocates point out that enforcement gaps, family pressure, and fear of stigma keep survivors from seeking help. Legal change must be paired with community education, survivor‑centred services, and protection measures that work in practice, emergency housing, witness protection and safe reporting routes.</w:t>
      </w:r>
      <w:r/>
    </w:p>
    <w:p>
      <w:r/>
      <w:r>
        <w:t>Observers also warn against policies that pit women’s safety against LGBTQ+ rights. Effective protection recognises both sets of harms and aims to reduce violence for all marginalised groups.</w:t>
      </w:r>
      <w:r/>
    </w:p>
    <w:p>
      <w:pPr>
        <w:pStyle w:val="Heading2"/>
      </w:pPr>
      <w:r>
        <w:t>What works on the ground: services, schools and grassroots action</w:t>
      </w:r>
      <w:r/>
    </w:p>
    <w:p>
      <w:r/>
      <w:r>
        <w:t>Prevention often succeeds best when it’s local. NGOs and community groups that combine legal assistance, culturally sensitive counselling, and advocacy have helped survivors escape forced marriages and avert attacks. Schools and health services can spot early signs, withdrawal, sudden relocation, or missing appointments, and refer young people to support before violence escalates.</w:t>
      </w:r>
      <w:r/>
    </w:p>
    <w:p>
      <w:r/>
      <w:r>
        <w:t>Practical steps for readers: if you work in a service role, get trained in confidentiality and inclusive language; if you’re a friend or neighbour, take threats seriously and offer to help contact specialist groups; if you fund or campaign, back programmes that centre the most marginalised voices.</w:t>
      </w:r>
      <w:r/>
    </w:p>
    <w:p>
      <w:pPr>
        <w:pStyle w:val="Heading2"/>
      </w:pPr>
      <w:r>
        <w:t>Looking ahead: policies that could make a difference</w:t>
      </w:r>
      <w:r/>
    </w:p>
    <w:p>
      <w:r/>
      <w:r>
        <w:t>A realistic roadmap includes better data collection on honour‑based and anti‑LGBTQ+ violence, funded wraparound services, and coordinated law enforcement that respects survivors’ safety concerns. International human‑rights work and domestic advocacy both have roles to play, but success depends on local buy‑in: changing attitudes in families and communities remains the long game.</w:t>
      </w:r>
      <w:r/>
    </w:p>
    <w:p>
      <w:r/>
      <w:r>
        <w:t>And remember: protecting people who live at intersecting margins isn’t charity, it’s justice. Safer communities are within reach when policy, practice and compassion meet.</w:t>
      </w:r>
      <w:r/>
    </w:p>
    <w:p>
      <w:r/>
      <w:r>
        <w:t>It's a small change in thinking that can save lives , notice, listen, and support the organisations doing the heavy lifting.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[7]</w:t>
        </w:r>
      </w:hyperlink>
      <w:r>
        <w:t xml:space="preserve">- Paragraph 3: </w:t>
      </w:r>
      <w:hyperlink r:id="rId13">
        <w:r>
          <w:rPr>
            <w:color w:val="0000EE"/>
            <w:u w:val="single"/>
          </w:rPr>
          <w:t>[4]</w:t>
        </w:r>
      </w:hyperlink>
      <w:r>
        <w:t xml:space="preserve">, </w:t>
      </w:r>
      <w:hyperlink r:id="rId14">
        <w:r>
          <w:rPr>
            <w:color w:val="0000EE"/>
            <w:u w:val="single"/>
          </w:rPr>
          <w:t>[5]</w:t>
        </w:r>
      </w:hyperlink>
      <w:r>
        <w:t xml:space="preserve">- Paragraph 4: </w:t>
      </w:r>
      <w:hyperlink r:id="rId11">
        <w:r>
          <w:rPr>
            <w:color w:val="0000EE"/>
            <w:u w:val="single"/>
          </w:rPr>
          <w:t>[3]</w:t>
        </w:r>
      </w:hyperlink>
      <w:r>
        <w:t xml:space="preserve">, </w:t>
      </w:r>
      <w:hyperlink r:id="rId12">
        <w:r>
          <w:rPr>
            <w:color w:val="0000EE"/>
            <w:u w:val="single"/>
          </w:rPr>
          <w:t>[7]</w:t>
        </w:r>
      </w:hyperlink>
      <w:r>
        <w:t xml:space="preserve">- Paragraph 5: </w:t>
      </w:r>
      <w:hyperlink r:id="rId14">
        <w:r>
          <w:rPr>
            <w:color w:val="0000EE"/>
            <w:u w:val="single"/>
          </w:rPr>
          <w:t>[5]</w:t>
        </w:r>
      </w:hyperlink>
      <w:r>
        <w:t xml:space="preserve">, </w:t>
      </w:r>
      <w:hyperlink r:id="rId10">
        <w:r>
          <w:rPr>
            <w:color w:val="0000EE"/>
            <w:u w:val="single"/>
          </w:rPr>
          <w:t>[2]</w:t>
        </w:r>
      </w:hyperlink>
      <w:r>
        <w:t xml:space="preserve">- Paragraph 6: </w:t>
      </w:r>
      <w:hyperlink r:id="rId15">
        <w:r>
          <w:rPr>
            <w:color w:val="0000EE"/>
            <w:u w:val="single"/>
          </w:rPr>
          <w:t>[6]</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https://legalresearchandanalysis.com/lgbtq-and-women-the-tragic-reality/</w:t>
        </w:r>
      </w:hyperlink>
      <w:r>
        <w:t xml:space="preserve"> - Please view link - unable to able to access data</w:t>
      </w:r>
      <w:r/>
    </w:p>
    <w:p>
      <w:pPr>
        <w:pStyle w:val="ListNumber"/>
        <w:spacing w:line="240" w:lineRule="auto"/>
        <w:ind w:left="720"/>
      </w:pPr>
      <w:r/>
      <w:hyperlink r:id="rId10">
        <w:r>
          <w:rPr>
            <w:color w:val="0000EE"/>
            <w:u w:val="single"/>
          </w:rPr>
          <w:t>https://www.theahafoundation.org/fact-sheet-2/</w:t>
        </w:r>
      </w:hyperlink>
      <w:r>
        <w:t xml:space="preserve"> - This fact sheet from The AHA Foundation provides an overview of honor violence, defining it as a form of violence typically committed against women to protect or regain the honor of the perpetrator, family, or community. It details various forms of honor violence, including psychological abuse, threats, stalking, harassment, false imprisonment, violence, sexual abuse, and homicide. The sheet also defines honor killings as murders committed when an individual, typically a female, is thought to have shamed the family, with the killing believed to restore honor. The document emphasizes the systemic nature of honor violence and its prevalence in certain cultures.</w:t>
      </w:r>
      <w:r/>
    </w:p>
    <w:p>
      <w:pPr>
        <w:pStyle w:val="ListNumber"/>
        <w:spacing w:line="240" w:lineRule="auto"/>
        <w:ind w:left="720"/>
      </w:pPr>
      <w:r/>
      <w:hyperlink r:id="rId11">
        <w:r>
          <w:rPr>
            <w:color w:val="0000EE"/>
            <w:u w:val="single"/>
          </w:rPr>
          <w:t>https://reports.hrc.org/dismantling-a-culture-of-violence</w:t>
        </w:r>
      </w:hyperlink>
      <w:r>
        <w:t xml:space="preserve"> - The Human Rights Campaign's report, 'Dismantling a Culture of Violence,' discusses intimate partner violence (IPV) as a form of violence rooted in power and domination, often perpetuated against those with marginalized identities. It highlights that IPV disproportionately impacts women, particularly women of color, and that transgender and gender-expansive individuals, especially trans women of color, are at greater risk. The report outlines unique vulnerabilities experienced by trans people, such as lack of economic stability and familial support, which are often exploited by abusive partners to maintain unhealthy relationships.</w:t>
      </w:r>
      <w:r/>
    </w:p>
    <w:p>
      <w:pPr>
        <w:pStyle w:val="ListNumber"/>
        <w:spacing w:line="240" w:lineRule="auto"/>
        <w:ind w:left="720"/>
      </w:pPr>
      <w:r/>
      <w:hyperlink r:id="rId13">
        <w:r>
          <w:rPr>
            <w:color w:val="0000EE"/>
            <w:u w:val="single"/>
          </w:rPr>
          <w:t>https://pmc.ncbi.nlm.nih.gov/articles/PMC6687286/</w:t>
        </w:r>
      </w:hyperlink>
      <w:r>
        <w:t xml:space="preserve"> - This study examines factors associated with honor killings in Afghanistan and the occupied Palestinian Territories. It defines honor killings as the most extreme form of honor-based abuse, which includes social isolation, coercion, forced marriage, and other forms of violence under the guise of maintaining honor. The study notes that women are disproportionately the targets of honor-based abuse and honor killings, with men also being victims. It discusses various triggers for honor killings, including perceived or actual adultery, premarital pregnancy, or challenging patriarchal gender norms. The study also highlights the connection between honor killings and other forms of violence against women and girls, emphasizing the dominance of male power in households and communities.</w:t>
      </w:r>
      <w:r/>
    </w:p>
    <w:p>
      <w:pPr>
        <w:pStyle w:val="ListNumber"/>
        <w:spacing w:line="240" w:lineRule="auto"/>
        <w:ind w:left="720"/>
      </w:pPr>
      <w:r/>
      <w:hyperlink r:id="rId14">
        <w:r>
          <w:rPr>
            <w:color w:val="0000EE"/>
            <w:u w:val="single"/>
          </w:rPr>
          <w:t>https://www.tahirih.org/who-we-serve/forms-of-violence/</w:t>
        </w:r>
      </w:hyperlink>
      <w:r>
        <w:t xml:space="preserve"> - The Tahirih Justice Center's page on forms of violence outlines various types of gender-based violence, including female genital mutilation/cutting, intimate partner violence, sexual assault and rape, forced marriage, and human trafficking. It emphasizes that while many victims are women and girls, any person who lives outside deeply rooted beliefs on sex, gender, and power can be a victim. The page highlights the pervasive nature of gender inequality worldwide and the devastating impact of violence on individuals, children, families, and communities. It also discusses the severe and lifelong consequences faced by victims of forced marriage, including physical, psychological, sexual, and economic abuse.</w:t>
      </w:r>
      <w:r/>
    </w:p>
    <w:p>
      <w:pPr>
        <w:pStyle w:val="ListNumber"/>
        <w:spacing w:line="240" w:lineRule="auto"/>
        <w:ind w:left="720"/>
      </w:pPr>
      <w:r/>
      <w:hyperlink r:id="rId15">
        <w:r>
          <w:rPr>
            <w:color w:val="0000EE"/>
            <w:u w:val="single"/>
          </w:rPr>
          <w:t>https://www.tandfonline.com/doi/full/10.1080/26924951.2025.2471751?af=R</w:t>
        </w:r>
      </w:hyperlink>
      <w:r>
        <w:t xml:space="preserve"> - This article, 'Examining the Intersection of Sexual Orientation and Gender on Outness and Identity,' explores how sexual orientation and gender identity intersect and influence experiences of outness and identity among sexual and gender minoritized individuals. It discusses the complexity and overlapping nature of these identities and how they co-exist and overlap in their meaning, socialization, and oppression. The article emphasizes the importance of understanding the intersectionality of sexual orientation and gender identity to better support individuals in embracing mental health and wellness. It also highlights the negative effects that unidimensional views of these identities can have on experiences in counseling and overall well-being.</w:t>
      </w:r>
      <w:r/>
    </w:p>
    <w:p>
      <w:pPr>
        <w:pStyle w:val="ListNumber"/>
        <w:spacing w:line="240" w:lineRule="auto"/>
        <w:ind w:left="720"/>
      </w:pPr>
      <w:r/>
      <w:hyperlink r:id="rId12">
        <w:r>
          <w:rPr>
            <w:color w:val="0000EE"/>
            <w:u w:val="single"/>
          </w:rPr>
          <w:t>https://www.hrw.org/news/2023/02/14/lb-women-face-brutal-attacks-discrimination-every-turn</w:t>
        </w:r>
      </w:hyperlink>
      <w:r>
        <w:t xml:space="preserve"> - Human Rights Watch's report, 'LBQ+ Women Face Brutal Attacks, Discrimination at Every Turn,' discusses the critical forms of violence and discrimination faced by lesbian, bisexual, and queer women globally. The report highlights forced marriage as one of the most frequently reported abuses experienced by LBQ+ individuals worldwide. It includes personal testimonies, such as that of Liliya from Kyrgyzstan, who describes the pressure to marry and the trauma of being forced into a marriage she did not want. The report emphasizes the global scale of discrimination and violence against LBQ+ women and the need for increased attention and action to address these issues.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egalresearchandanalysis.com/lgbtq-and-women-the-tragic-reality/" TargetMode="External"/><Relationship Id="rId10" Type="http://schemas.openxmlformats.org/officeDocument/2006/relationships/hyperlink" Target="https://www.theahafoundation.org/fact-sheet-2/" TargetMode="External"/><Relationship Id="rId11" Type="http://schemas.openxmlformats.org/officeDocument/2006/relationships/hyperlink" Target="https://reports.hrc.org/dismantling-a-culture-of-violence" TargetMode="External"/><Relationship Id="rId12" Type="http://schemas.openxmlformats.org/officeDocument/2006/relationships/hyperlink" Target="https://www.hrw.org/news/2023/02/14/lb-women-face-brutal-attacks-discrimination-every-turn" TargetMode="External"/><Relationship Id="rId13" Type="http://schemas.openxmlformats.org/officeDocument/2006/relationships/hyperlink" Target="https://pmc.ncbi.nlm.nih.gov/articles/PMC6687286/" TargetMode="External"/><Relationship Id="rId14" Type="http://schemas.openxmlformats.org/officeDocument/2006/relationships/hyperlink" Target="https://www.tahirih.org/who-we-serve/forms-of-violence/" TargetMode="External"/><Relationship Id="rId15" Type="http://schemas.openxmlformats.org/officeDocument/2006/relationships/hyperlink" Target="https://www.tandfonline.com/doi/full/10.1080/26924951.2025.2471751?af=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