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FEHA Sexual Orientation Protections in California Workplaces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justice and concerned employees are turning to clear California rules: FEHA has offered strong sexual orientation protections since 1992, and they matter for hiring, pay, promotion and firing , here’s what you need to know, how to spot subtle discrimination, and when to act.</w:t>
      </w:r>
      <w:r/>
    </w:p>
    <w:p>
      <w:r/>
      <w:r>
        <w:t>Essential Takeaways</w:t>
      </w:r>
      <w:r/>
      <w:r/>
    </w:p>
    <w:p>
      <w:pPr>
        <w:pStyle w:val="ListBullet"/>
        <w:spacing w:line="240" w:lineRule="auto"/>
        <w:ind w:left="720"/>
      </w:pPr>
      <w:r/>
      <w:r>
        <w:rPr>
          <w:b/>
        </w:rPr>
        <w:t>Broad coverage:</w:t>
      </w:r>
      <w:r>
        <w:t xml:space="preserve"> FEHA bars discrimination based on actual or perceived sexual orientation in every employment stage , hiring, pay, assignments, promotion, discipline and firing. </w:t>
      </w:r>
      <w:r/>
    </w:p>
    <w:p>
      <w:pPr>
        <w:pStyle w:val="ListBullet"/>
        <w:spacing w:line="240" w:lineRule="auto"/>
        <w:ind w:left="720"/>
      </w:pPr>
      <w:r/>
      <w:r>
        <w:rPr>
          <w:b/>
        </w:rPr>
        <w:t>Stronger than federal:</w:t>
      </w:r>
      <w:r>
        <w:t xml:space="preserve"> California’s substantial motivating factor standard makes FEHA easier for plaintiffs than the federal but-for standard under Title VII after Bostock. </w:t>
      </w:r>
      <w:r/>
    </w:p>
    <w:p>
      <w:pPr>
        <w:pStyle w:val="ListBullet"/>
        <w:spacing w:line="240" w:lineRule="auto"/>
        <w:ind w:left="720"/>
      </w:pPr>
      <w:r/>
      <w:r>
        <w:rPr>
          <w:b/>
        </w:rPr>
        <w:t>Multiple remedies:</w:t>
      </w:r>
      <w:r>
        <w:t xml:space="preserve"> FEHA offers back pay, front pay, uncapped punitive damages in some cases, emotional distress awards and attorneys’ fees. </w:t>
      </w:r>
      <w:r/>
    </w:p>
    <w:p>
      <w:pPr>
        <w:pStyle w:val="ListBullet"/>
        <w:spacing w:line="240" w:lineRule="auto"/>
        <w:ind w:left="720"/>
      </w:pPr>
      <w:r/>
      <w:r>
        <w:rPr>
          <w:b/>
        </w:rPr>
        <w:t>Filing windows differ:</w:t>
      </w:r>
      <w:r>
        <w:t xml:space="preserve"> You have three years to file with the California Civil Rights Department and 300 days for an EEOC charge; cross-filing usually preserves both avenues. </w:t>
      </w:r>
      <w:r/>
    </w:p>
    <w:p>
      <w:pPr>
        <w:pStyle w:val="ListBullet"/>
        <w:spacing w:line="240" w:lineRule="auto"/>
        <w:ind w:left="720"/>
      </w:pPr>
      <w:r/>
      <w:r>
        <w:rPr>
          <w:b/>
        </w:rPr>
        <w:t>Common signs:</w:t>
      </w:r>
      <w:r>
        <w:t xml:space="preserve"> Look for patterns , passed-over hires, stalled promotions, pay gaps, or sudden negative reviews after disclosure , these often reveal discriminatory motives.</w:t>
      </w:r>
      <w:r/>
      <w:r/>
    </w:p>
    <w:p>
      <w:pPr>
        <w:pStyle w:val="Heading2"/>
      </w:pPr>
      <w:r>
        <w:t>Why FEHA still matters even after Bostock</w:t>
      </w:r>
      <w:r/>
    </w:p>
    <w:p>
      <w:r/>
      <w:r>
        <w:t>FEHA’s protection for sexual orientation predates the U.S. Supreme Court’s Bostock decision and remains the go-to statute for many California employees because it’s broader and more forgiving to claimants. California employers can’t rely on federal minimums to avoid state liability; FEHA’s reach extends across the workplace and to perceived orientations too, which is important if an employer acts on assumptions rather than facts. According to labour-law guides, that state-level layer includes more favourable causation rules and often stronger damages, so it’s a practical advantage for employees thinking about legal options.</w:t>
      </w:r>
      <w:r/>
    </w:p>
    <w:p>
      <w:pPr>
        <w:pStyle w:val="Heading2"/>
      </w:pPr>
      <w:r>
        <w:t>Spotting subtle discrimination , the everyday patterns</w:t>
      </w:r>
      <w:r/>
    </w:p>
    <w:p>
      <w:r/>
      <w:r>
        <w:t>Discrimination is rarely spelled out in a memo. Instead, it shows up as patterns: the well-qualified LGBTQ+ candidate who’s told “not a culture fit”, the star employee repeatedly skipped for promotion, or colleagues paid noticeably less. Legal sites that explain employment discrimination note these recurring signals and recommend collecting documents , performance reviews, emails, assignment records , that reveal who gets which opportunities. If you notice repeated disparities that line up with sexual orientation, that pattern is often the strongest evidence.</w:t>
      </w:r>
      <w:r/>
    </w:p>
    <w:p>
      <w:pPr>
        <w:pStyle w:val="Heading2"/>
      </w:pPr>
      <w:r>
        <w:t>How California’s causation standard helps your claim</w:t>
      </w:r>
      <w:r/>
    </w:p>
    <w:p>
      <w:r/>
      <w:r>
        <w:t>FEHA applies the substantial motivating factor standard, which means you don’t have to prove sexual orientation was the only reason for an adverse decision , only that it played a meaningful role. That contrasts with the federal but-for test adopted after Bostock, where an employee must show the action wouldn’t have occurred “but for” the protected trait. In mixed-motive scenarios , say, a genuine performance concern plus discriminatory bias , FEHA’s rule preserves liability even if the employer points to other reasons. Practically, that makes it easier to hold employers accountable when bias is one of several influences.</w:t>
      </w:r>
      <w:r/>
    </w:p>
    <w:p>
      <w:pPr>
        <w:pStyle w:val="Heading2"/>
      </w:pPr>
      <w:r>
        <w:t>Common employer defences , and why they can fall short</w:t>
      </w:r>
      <w:r/>
    </w:p>
    <w:p>
      <w:r/>
      <w:r>
        <w:t>Employers often cite performance problems, business restructuring, or client preference to justify adverse actions. But courts and labour-law commentators look for supporting evidence: consistent documentation of poor performance, neutral selection processes in restructures, or legitimate business necessity. California law doesn’t allow customer discomfort to justify discrimination based on sexual orientation, so claims that “clients won’t like it” generally fail as a defence. When the timing of adverse actions matches disclosure or internal comments surface, those defences become harder to sustain.</w:t>
      </w:r>
      <w:r/>
    </w:p>
    <w:p>
      <w:pPr>
        <w:pStyle w:val="Heading2"/>
      </w:pPr>
      <w:r>
        <w:t>Remedies, process and practical next steps</w:t>
      </w:r>
      <w:r/>
    </w:p>
    <w:p>
      <w:r/>
      <w:r>
        <w:t>FEHA offers a full suite of remedies , lost wages, lost benefits, front pay, emotional distress and potentially punitive damages and attorneys’ fees. Start by documenting everything: dates, conversations, messages, performance records and coworkers who might corroborate your account. File with the California Civil Rights Department within three years; that filing often triggers cross-filing with the EEOC, which uses a shorter 300-day deadline for federal claims. Speak to a vetted employment attorney early , they can request a right-to-sue notice, preserve evidence, and explain whether FEHA or Title VII gives you the strongest path. If you work for a very small employer, remember the federal layer may still apply depending on employer size.</w:t>
      </w:r>
      <w:r/>
    </w:p>
    <w:p>
      <w:r/>
      <w:r>
        <w:t>It's a small change that can make every workplace safer and fairer for LGBTQ+ employees.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https://www.1000attorneys.com/post/sexual-orientation-discrimination-in-california-what-feha-protects-and-what-employers-cannot-do</w:t>
        </w:r>
      </w:hyperlink>
      <w:r>
        <w:t xml:space="preserve"> - Please view link - unable to able to access data</w:t>
      </w:r>
      <w:r/>
    </w:p>
    <w:p>
      <w:pPr>
        <w:pStyle w:val="ListNumber"/>
        <w:spacing w:line="240" w:lineRule="auto"/>
        <w:ind w:left="720"/>
      </w:pPr>
      <w:r/>
      <w:hyperlink r:id="rId9">
        <w:r>
          <w:rPr>
            <w:color w:val="0000EE"/>
            <w:u w:val="single"/>
          </w:rPr>
          <w:t>https://www.1000attorneys.com/post/sexual-orientation-discrimination-in-california-what-feha-protects-and-what-employers-cannot-do</w:t>
        </w:r>
      </w:hyperlink>
      <w:r>
        <w:t xml:space="preserve"> - This article provides an in-depth analysis of California's Fair Employment and Housing Act (FEHA), which has prohibited sexual orientation discrimination in employment since 1992. It outlines the comprehensive protections FEHA offers to employees, covering all aspects of employment from hiring to termination. The piece also discusses the federal layer added by the 2020 Supreme Court decision in Bostock v. Clayton County, which extended Title VII protections to LGBTQ+ employees nationwide. The article further explores practical examples of sexual orientation discrimination in the workplace and the substantial remedies available under FEHA for affected employees.</w:t>
      </w:r>
      <w:r/>
    </w:p>
    <w:p>
      <w:pPr>
        <w:pStyle w:val="ListNumber"/>
        <w:spacing w:line="240" w:lineRule="auto"/>
        <w:ind w:left="720"/>
      </w:pPr>
      <w:r/>
      <w:hyperlink r:id="rId10">
        <w:r>
          <w:rPr>
            <w:color w:val="0000EE"/>
            <w:u w:val="single"/>
          </w:rPr>
          <w:t>https://www.californialaborlawattorney.com/employment-library/labor-and-employment-resources/california-fair-employment-housing-act/</w:t>
        </w:r>
      </w:hyperlink>
      <w:r>
        <w:t xml:space="preserve"> - This resource explains the California Fair Employment and Housing Act (FEHA), detailing the protected characteristics under the act, including sexual orientation. It emphasizes that employers cannot make employment decisions based on these protected traits and outlines the various forms of discrimination prohibited by FEHA, such as harassment and wage discrimination. The article also highlights the differences between federal laws enforced by the Equal Employment Opportunity Commission (EEOC) and the protections guaranteed by FEHA concerning sexual orientation discrimination.</w:t>
      </w:r>
      <w:r/>
    </w:p>
    <w:p>
      <w:pPr>
        <w:pStyle w:val="ListNumber"/>
        <w:spacing w:line="240" w:lineRule="auto"/>
        <w:ind w:left="720"/>
      </w:pPr>
      <w:r/>
      <w:hyperlink r:id="rId11">
        <w:r>
          <w:rPr>
            <w:color w:val="0000EE"/>
            <w:u w:val="single"/>
          </w:rPr>
          <w:t>https://www.shouselaw.com/ca/labor/discrimination/sexual-orientation/</w:t>
        </w:r>
      </w:hyperlink>
      <w:r>
        <w:t xml:space="preserve"> - This article discusses employment discrimination in California based on sexual orientation, highlighting that under FEHA, it is illegal for an employer to fire, fail to promote, disqualify, or otherwise discriminate against an individual because of their perceived or actual sexual orientation. It provides guidance on how to bring a claim against an employer for such discrimination and outlines the potential damages that can be recovered. The piece also addresses the question of whether an employer can fire an employee for reporting sexual orientation discrimination.</w:t>
      </w:r>
      <w:r/>
    </w:p>
    <w:p>
      <w:pPr>
        <w:pStyle w:val="ListNumber"/>
        <w:spacing w:line="240" w:lineRule="auto"/>
        <w:ind w:left="720"/>
      </w:pPr>
      <w:r/>
      <w:hyperlink r:id="rId13">
        <w:r>
          <w:rPr>
            <w:color w:val="0000EE"/>
            <w:u w:val="single"/>
          </w:rPr>
          <w:t>https://www.bwslaw.com/publications/u-s-supreme-courts-decision-in-bostock-v-clayton-county-extends-title-vii-protections-to-sexual-orientation-and-gender-identity/</w:t>
        </w:r>
      </w:hyperlink>
      <w:r>
        <w:t xml:space="preserve"> - This publication discusses the U.S. Supreme Court's decision in Bostock v. Clayton County, which extended Title VII of the Civil Rights Act of 1964 to protect LGBTQ workers from workplace discrimination. The article explains the significance of the ruling and its implications for employers and employees, particularly in California, where state laws already provided protections against sexual orientation discrimination. It also explores the potential challenges and considerations following the decision.</w:t>
      </w:r>
      <w:r/>
    </w:p>
    <w:p>
      <w:pPr>
        <w:pStyle w:val="ListNumber"/>
        <w:spacing w:line="240" w:lineRule="auto"/>
        <w:ind w:left="720"/>
      </w:pPr>
      <w:r/>
      <w:hyperlink r:id="rId12">
        <w:r>
          <w:rPr>
            <w:color w:val="0000EE"/>
            <w:u w:val="single"/>
          </w:rPr>
          <w:t>https://www.ssrplaw.com/practice-areas/employee-rights/employment-discrimination/sexual-orientation-discrimination/</w:t>
        </w:r>
      </w:hyperlink>
      <w:r>
        <w:t xml:space="preserve"> - This page outlines the legal protections against sexual orientation discrimination in California workplaces under FEHA. It defines sexual orientation discrimination and explains that employers are prohibited from retaliating against employees who complain about such discrimination. The article also provides contact information for employees seeking legal assistance in cases of sexual orientation discrimination.</w:t>
      </w:r>
      <w:r/>
    </w:p>
    <w:p>
      <w:pPr>
        <w:pStyle w:val="ListNumber"/>
        <w:spacing w:line="240" w:lineRule="auto"/>
        <w:ind w:left="720"/>
      </w:pPr>
      <w:r/>
      <w:hyperlink r:id="rId14">
        <w:r>
          <w:rPr>
            <w:color w:val="0000EE"/>
            <w:u w:val="single"/>
          </w:rPr>
          <w:t>https://www.law.cornell.edu/supremecourt/text/17-1618</w:t>
        </w:r>
      </w:hyperlink>
      <w:r>
        <w:t xml:space="preserve"> - This is the official Supreme Court opinion for Bostock v. Clayton County, which held that Title VII of the Civil Rights Act of 1964 protects employees against discrimination on the basis of sexual orientation or gender identity. The document provides the full text of the Court's opinion, including the majority and dissenting opinions, and discusses the legal reasoning behind the decision.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1000attorneys.com/post/sexual-orientation-discrimination-in-california-what-feha-protects-and-what-employers-cannot-do" TargetMode="External"/><Relationship Id="rId10" Type="http://schemas.openxmlformats.org/officeDocument/2006/relationships/hyperlink" Target="https://www.californialaborlawattorney.com/employment-library/labor-and-employment-resources/california-fair-employment-housing-act/" TargetMode="External"/><Relationship Id="rId11" Type="http://schemas.openxmlformats.org/officeDocument/2006/relationships/hyperlink" Target="https://www.shouselaw.com/ca/labor/discrimination/sexual-orientation/" TargetMode="External"/><Relationship Id="rId12" Type="http://schemas.openxmlformats.org/officeDocument/2006/relationships/hyperlink" Target="https://www.ssrplaw.com/practice-areas/employee-rights/employment-discrimination/sexual-orientation-discrimination/" TargetMode="External"/><Relationship Id="rId13" Type="http://schemas.openxmlformats.org/officeDocument/2006/relationships/hyperlink" Target="https://www.bwslaw.com/publications/u-s-supreme-courts-decision-in-bostock-v-clayton-county-extends-title-vii-protections-to-sexual-orientation-and-gender-identity/" TargetMode="External"/><Relationship Id="rId14" Type="http://schemas.openxmlformats.org/officeDocument/2006/relationships/hyperlink" Target="https://www.law.cornell.edu/supremecourt/text/17-16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