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LGBTQ Survey Design: Practical Tools for Local Data Collection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data and community advocates are turning to a new practical guide from the Williams Institute to close glaring gaps in local LGBTQ information, helping governments, researchers and grassroots groups collect inclusive, policy‑relevant data that actually reflects people’s lives.</w:t>
      </w:r>
      <w:r/>
      <w:r/>
    </w:p>
    <w:p>
      <w:pPr>
        <w:pStyle w:val="ListBullet"/>
        <w:spacing w:line="240" w:lineRule="auto"/>
        <w:ind w:left="720"/>
      </w:pPr>
      <w:r/>
      <w:r>
        <w:rPr>
          <w:b/>
        </w:rPr>
        <w:t>Practical focus:</w:t>
      </w:r>
      <w:r>
        <w:t xml:space="preserve"> The guide offers step‑by‑step advice for community‑centred surveys that work in real life, not just in theory. </w:t>
      </w:r>
      <w:r/>
    </w:p>
    <w:p>
      <w:pPr>
        <w:pStyle w:val="ListBullet"/>
        <w:spacing w:line="240" w:lineRule="auto"/>
        <w:ind w:left="720"/>
      </w:pPr>
      <w:r/>
      <w:r>
        <w:rPr>
          <w:b/>
        </w:rPr>
        <w:t>Inclusive measures:</w:t>
      </w:r>
      <w:r>
        <w:t xml:space="preserve"> Uses tested questions for sexual orientation and gender identity so results are comparable and trustworthy. </w:t>
      </w:r>
      <w:r/>
    </w:p>
    <w:p>
      <w:pPr>
        <w:pStyle w:val="ListBullet"/>
        <w:spacing w:line="240" w:lineRule="auto"/>
        <w:ind w:left="720"/>
      </w:pPr>
      <w:r/>
      <w:r>
        <w:rPr>
          <w:b/>
        </w:rPr>
        <w:t>Targeted insight:</w:t>
      </w:r>
      <w:r>
        <w:t xml:space="preserve"> Enables breakdowns by age, race, immigration status and gender identity to spotlight underserved groups. </w:t>
      </w:r>
      <w:r/>
    </w:p>
    <w:p>
      <w:pPr>
        <w:pStyle w:val="ListBullet"/>
        <w:spacing w:line="240" w:lineRule="auto"/>
        <w:ind w:left="720"/>
      </w:pPr>
      <w:r/>
      <w:r>
        <w:rPr>
          <w:b/>
        </w:rPr>
        <w:t>Policy-ready:</w:t>
      </w:r>
      <w:r>
        <w:t xml:space="preserve"> Designed to answer state and local policy questions now that many federal surveys no longer ask SOGI items. </w:t>
      </w:r>
      <w:r/>
    </w:p>
    <w:p>
      <w:pPr>
        <w:pStyle w:val="ListBullet"/>
        <w:spacing w:line="240" w:lineRule="auto"/>
        <w:ind w:left="720"/>
      </w:pPr>
      <w:r/>
      <w:r>
        <w:rPr>
          <w:b/>
        </w:rPr>
        <w:t>Easy to adopt:</w:t>
      </w:r>
      <w:r>
        <w:t xml:space="preserve"> Includes sample questions and examples from California and Los Angeles County studies, making adoption straightforward.</w:t>
      </w:r>
      <w:r/>
      <w:r/>
    </w:p>
    <w:p>
      <w:pPr>
        <w:pStyle w:val="Heading2"/>
      </w:pPr>
      <w:r>
        <w:t>Why this guide matters now: federal gaps leave a vacuum</w:t>
      </w:r>
      <w:r/>
    </w:p>
    <w:p>
      <w:r/>
      <w:r>
        <w:t>The strongest hook here is timing: many federal surveys have removed sexual orientation and gender identity items, leaving planners and advocates without the basic counts they need. That absence makes local data collection not optional but essential, and the Williams Institute’s guide aims to fill that gap with a clear, usable playbook. It’s a practical response to a policy problem that feels urgent for health, housing and social services planners.</w:t>
      </w:r>
      <w:r/>
    </w:p>
    <w:p>
      <w:r/>
      <w:r>
        <w:t>According to advocacy groups and recent reports, when governments stop asking, communities lose visibility. That invisibility translates into missed funding, overlooked needs and policies that don’t reflect the real make‑up of populations. The guide helps make sure local questions capture who people are and the challenges they face.</w:t>
      </w:r>
      <w:r/>
    </w:p>
    <w:p>
      <w:pPr>
        <w:pStyle w:val="Heading2"/>
      </w:pPr>
      <w:r>
        <w:t>What to ask and how to ask it: inclusive SOGI measures that travel</w:t>
      </w:r>
      <w:r/>
    </w:p>
    <w:p>
      <w:r/>
      <w:r>
        <w:t>The guide leans on measures the Williams Institute has tested over decades to make sure questions about sexual orientation and gender identity are clear, respectful and comparable across surveys. That’s crucial if you want to compare LGBTQ and non‑LGBTQ populations or track trends over time.</w:t>
      </w:r>
      <w:r/>
    </w:p>
    <w:p>
      <w:r/>
      <w:r>
        <w:t>Practical tip: include separate, plain‑language items for sexual orientation and gender identity, offer nonbinary response options, and add an open text field when useful. These choices reduce misclassification and make respondents feel seen, which improves response quality.</w:t>
      </w:r>
      <w:r/>
    </w:p>
    <w:p>
      <w:pPr>
        <w:pStyle w:val="Heading2"/>
      </w:pPr>
      <w:r>
        <w:t>Designing community‑centred surveys: more than just questions</w:t>
      </w:r>
      <w:r/>
    </w:p>
    <w:p>
      <w:r/>
      <w:r>
        <w:t>Good survey design is also about who you involve and how you recruit them. The guide emphasises partnering with community organisations, testing questions in the field, and using sampling strategies that reach youth, elders, immigrants and people of colour. Those steps help avoid the usual bias of online or convenience samples.</w:t>
      </w:r>
      <w:r/>
    </w:p>
    <w:p>
      <w:r/>
      <w:r>
        <w:t>If you’re running a municipal survey, piloting the instrument with local LGBTQ groups and offering multiple modes of completion , paper, online, phone , will widen participation and produce richer, more representative data.</w:t>
      </w:r>
      <w:r/>
    </w:p>
    <w:p>
      <w:pPr>
        <w:pStyle w:val="Heading2"/>
      </w:pPr>
      <w:r>
        <w:t>Turning data into policy: comparability and relevance</w:t>
      </w:r>
      <w:r/>
    </w:p>
    <w:p>
      <w:r/>
      <w:r>
        <w:t>One big benefit of using the guide’s tested measures is comparability: your local numbers can be meaningfully compared with other jurisdictions or past studies. That comparability makes it easier to argue for resource allocation or legal protections, because you’re speaking the same statistical language as researchers and policymakers.</w:t>
      </w:r>
      <w:r/>
    </w:p>
    <w:p>
      <w:r/>
      <w:r>
        <w:t>For example, having reliable SOGI items lets officials compare health outcomes between LGBTQ and non‑LGBTQ residents, or identify needs among transgender and nonbinary people specifically. Those distinctions matter for targeted programmes and funding bids.</w:t>
      </w:r>
      <w:r/>
    </w:p>
    <w:p>
      <w:pPr>
        <w:pStyle w:val="Heading2"/>
      </w:pPr>
      <w:r>
        <w:t>Real examples and quick wins: learning from California and LA County</w:t>
      </w:r>
      <w:r/>
    </w:p>
    <w:p>
      <w:r/>
      <w:r>
        <w:t>The Williams Institute includes case studies from work in California and Los Angeles County that show how these methods play out on the ground. Those examples are useful models if you’re launching a survey in a similar urban or state context and want tested question wordings and sampling tactics.</w:t>
      </w:r>
      <w:r/>
    </w:p>
    <w:p>
      <w:r/>
      <w:r>
        <w:t>Quick wins include copying sample SOGI items, adapting recruitment language used in successful pilots, and using the guide’s checklists to avoid common pitfalls like duplicating existing data or asking questions that don’t map to policy levers.</w:t>
      </w:r>
      <w:r/>
    </w:p>
    <w:p>
      <w:r/>
      <w:r>
        <w:t>It's a small change in practice that can make local governments and community groups far better equipped to serve LGBTQ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[7]</w:t>
        </w:r>
      </w:hyperlink>
      <w:r>
        <w:t xml:space="preserve">- Paragraph 3: </w:t>
      </w:r>
      <w:hyperlink r:id="rId10">
        <w:r>
          <w:rPr>
            <w:color w:val="0000EE"/>
            <w:u w:val="single"/>
          </w:rPr>
          <w:t>[4]</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2">
        <w:r>
          <w:rPr>
            <w:color w:val="0000EE"/>
            <w:u w:val="single"/>
          </w:rPr>
          <w:t>[5]</w:t>
        </w:r>
      </w:hyperlink>
      <w:r>
        <w:t xml:space="preserve">- Paragraph 5: </w:t>
      </w:r>
      <w:hyperlink r:id="rId14">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https://williamsinstitute.law.ucla.edu/press/survey-guide-press-release/</w:t>
        </w:r>
      </w:hyperlink>
      <w:r>
        <w:t xml:space="preserve"> - Please view link - unable to able to access data</w:t>
      </w:r>
      <w:r/>
    </w:p>
    <w:p>
      <w:pPr>
        <w:pStyle w:val="ListNumber"/>
        <w:spacing w:line="240" w:lineRule="auto"/>
        <w:ind w:left="720"/>
      </w:pPr>
      <w:r/>
      <w:hyperlink r:id="rId9">
        <w:r>
          <w:rPr>
            <w:color w:val="0000EE"/>
            <w:u w:val="single"/>
          </w:rPr>
          <w:t>https://williamsinstitute.law.ucla.edu/press/survey-guide-press-release/</w:t>
        </w:r>
      </w:hyperlink>
      <w:r>
        <w:t xml:space="preserve"> - The Williams Institute at UCLA School of Law has released a new guide to assist in conducting community-centered data collection for LGBTQ communities. This guide addresses the lack of reliable data at state and local levels, which hampers efforts to improve the well-being of LGBTQ individuals. It offers practical information on designing surveys that reflect people's experiences, ensuring data is not redundant, and gathering information pertinent to current law and policy issues. The guide also provides examples from studies conducted by the Williams Institute in California and Los Angeles County.</w:t>
      </w:r>
      <w:r/>
    </w:p>
    <w:p>
      <w:pPr>
        <w:pStyle w:val="ListNumber"/>
        <w:spacing w:line="240" w:lineRule="auto"/>
        <w:ind w:left="720"/>
      </w:pPr>
      <w:r/>
      <w:hyperlink r:id="rId13">
        <w:r>
          <w:rPr>
            <w:color w:val="0000EE"/>
            <w:u w:val="single"/>
          </w:rPr>
          <w:t>https://williamsinstitute.law.ucla.edu/publications/lgbtq-research-guide/</w:t>
        </w:r>
      </w:hyperlink>
      <w:r>
        <w:t xml:space="preserve"> - The Williams Institute's 'Guide for State &amp; Local Survey Research with LGBTQ Communities' offers comprehensive principles and approaches for conducting surveys within LGBTQ communities. It emphasizes the importance of community engagement, question development, survey design, implementation, analysis, and dissemination. The guide aims to promote methodologically sound, community-centered survey data collection that informs policy and improves LGBTQ health and social equity. It includes examples from studies conducted by the Williams Institute, primarily focusing on research in California and Los Angeles County.</w:t>
      </w:r>
      <w:r/>
    </w:p>
    <w:p>
      <w:pPr>
        <w:pStyle w:val="ListNumber"/>
        <w:spacing w:line="240" w:lineRule="auto"/>
        <w:ind w:left="720"/>
      </w:pPr>
      <w:r/>
      <w:hyperlink r:id="rId10">
        <w:r>
          <w:rPr>
            <w:color w:val="0000EE"/>
            <w:u w:val="single"/>
          </w:rPr>
          <w:t>https://williamsinstitute.law.ucla.edu/quick-facts/survey-measures/</w:t>
        </w:r>
      </w:hyperlink>
      <w:r>
        <w:t xml:space="preserve"> - The Williams Institute provides a set of recommendations for collecting information about sexual orientation and gender identity in surveys. These recommendations are based on the National Academies of Sciences, Engineering &amp; Medicine's published report. The guide includes suggested questions for sexual orientation identity and gender identity, aiming to ensure that surveys accurately capture these aspects of respondents' identities. The recommendations are designed to be adaptable for both interviewer-administered and self-administered surveys.</w:t>
      </w:r>
      <w:r/>
    </w:p>
    <w:p>
      <w:pPr>
        <w:pStyle w:val="ListNumber"/>
        <w:spacing w:line="240" w:lineRule="auto"/>
        <w:ind w:left="720"/>
      </w:pPr>
      <w:r/>
      <w:hyperlink r:id="rId12">
        <w:r>
          <w:rPr>
            <w:color w:val="0000EE"/>
            <w:u w:val="single"/>
          </w:rPr>
          <w:t>https://williamsinstitute.law.ucla.edu/publications/smart-so-survey/</w:t>
        </w:r>
      </w:hyperlink>
      <w:r>
        <w:t xml:space="preserve"> - The Williams Institute's report, 'Best Practices for Asking Questions about Sexual Orientation on Surveys (SMART)', provides guidance on structuring and asking survey questions to measure sexual orientation effectively. It outlines best practices for analyzing sexual orientation data and emphasizes the necessity of collecting such data to assess the role of LGB-status as a predictor of health, social, and economic outcomes. The report is based on a multi-year effort of an expert panel from various disciplines in the health and social sciences.</w:t>
      </w:r>
      <w:r/>
    </w:p>
    <w:p>
      <w:pPr>
        <w:pStyle w:val="ListNumber"/>
        <w:spacing w:line="240" w:lineRule="auto"/>
        <w:ind w:left="720"/>
      </w:pPr>
      <w:r/>
      <w:hyperlink r:id="rId14">
        <w:r>
          <w:rPr>
            <w:color w:val="0000EE"/>
            <w:u w:val="single"/>
          </w:rPr>
          <w:t>https://williamsinstitute.law.ucla.edu/publications/geniuss-trans-pop-based-survey/</w:t>
        </w:r>
      </w:hyperlink>
      <w:r>
        <w:t xml:space="preserve"> - The Williams Institute's report, 'Best Practices for Asking Questions to Identify Transgender and Other Gender Minority Respondents on Population-Based Surveys (GenIUSS)', addresses the lack of measures to identify transgender and other gender minority respondents in most federally supported population-based surveys. It emphasizes the importance of collecting social, economic, and health data on gender minority populations to develop strategies that meet their needs. The report provides various promising measures and measurement approaches for identifying respondents as gender minorities in general population surveys.</w:t>
      </w:r>
      <w:r/>
    </w:p>
    <w:p>
      <w:pPr>
        <w:pStyle w:val="ListNumber"/>
        <w:spacing w:line="240" w:lineRule="auto"/>
        <w:ind w:left="720"/>
      </w:pPr>
      <w:r/>
      <w:hyperlink r:id="rId11">
        <w:r>
          <w:rPr>
            <w:color w:val="0000EE"/>
            <w:u w:val="single"/>
          </w:rPr>
          <w:t>https://www.hrc.org/news/hrc-report-state-and-federal-officials-failing-lgbtq-community-in-data-coll</w:t>
        </w:r>
      </w:hyperlink>
      <w:r>
        <w:t xml:space="preserve"> - The Human Rights Campaign (HRC) published a report titled 'LGBTQ-Inclusive Data Collection: A Lifesaving Imperative', revealing how the failure of state and federal officials to collect full and accurate data on sexual orientation and gender identity is causing harm to LGBTQ Americans. The report highlights the real and dire consequences of this data collection failure, emphasizing the need for municipal and state governments to close the gap on data collection and ensure every single LGBTQ person is counted.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illiamsinstitute.law.ucla.edu/press/survey-guide-press-release/" TargetMode="External"/><Relationship Id="rId10" Type="http://schemas.openxmlformats.org/officeDocument/2006/relationships/hyperlink" Target="https://williamsinstitute.law.ucla.edu/quick-facts/survey-measures/" TargetMode="External"/><Relationship Id="rId11" Type="http://schemas.openxmlformats.org/officeDocument/2006/relationships/hyperlink" Target="https://www.hrc.org/news/hrc-report-state-and-federal-officials-failing-lgbtq-community-in-data-coll" TargetMode="External"/><Relationship Id="rId12" Type="http://schemas.openxmlformats.org/officeDocument/2006/relationships/hyperlink" Target="https://williamsinstitute.law.ucla.edu/publications/smart-so-survey/" TargetMode="External"/><Relationship Id="rId13" Type="http://schemas.openxmlformats.org/officeDocument/2006/relationships/hyperlink" Target="https://williamsinstitute.law.ucla.edu/publications/lgbtq-research-guide/" TargetMode="External"/><Relationship Id="rId14" Type="http://schemas.openxmlformats.org/officeDocument/2006/relationships/hyperlink" Target="https://williamsinstitute.law.ucla.edu/publications/geniuss-trans-pop-based-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