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Local Councils Can Celebrate Women and LGBTQIA+ Communities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local employees are joining community-led events more than ever; Santa Rita’s LGU closed National Women’s Month with a full day of Women’s Walks, free Zumba, legal briefings and livelihood aid that doubled as a model for other municipalities wanting meaningful, inclusive programming.</w:t>
      </w:r>
      <w:r/>
    </w:p>
    <w:p>
      <w:r/>
      <w:r>
        <w:t>Essential Takeaways</w:t>
      </w:r>
      <w:r/>
      <w:r/>
    </w:p>
    <w:p>
      <w:pPr>
        <w:pStyle w:val="ListBullet"/>
        <w:spacing w:line="240" w:lineRule="auto"/>
        <w:ind w:left="720"/>
      </w:pPr>
      <w:r/>
      <w:r>
        <w:rPr>
          <w:b/>
        </w:rPr>
        <w:t>Community-focused:</w:t>
      </w:r>
      <w:r>
        <w:t xml:space="preserve"> Santa Rita held a municipality-wide Women’s Walk and free Zumba to kick off a day of empowerment and visibility.</w:t>
      </w:r>
      <w:r/>
    </w:p>
    <w:p>
      <w:pPr>
        <w:pStyle w:val="ListBullet"/>
        <w:spacing w:line="240" w:lineRule="auto"/>
        <w:ind w:left="720"/>
      </w:pPr>
      <w:r/>
      <w:r>
        <w:rPr>
          <w:b/>
        </w:rPr>
        <w:t>Legal awareness:</w:t>
      </w:r>
      <w:r>
        <w:t xml:space="preserve"> LGU personnel received orientations on the Magna Carta of Women (RA 9710) and the Anti-Violence Against Women and Their Children Act (RA 9262), reinforcing rights and protections.</w:t>
      </w:r>
      <w:r/>
    </w:p>
    <w:p>
      <w:pPr>
        <w:pStyle w:val="ListBullet"/>
        <w:spacing w:line="240" w:lineRule="auto"/>
        <w:ind w:left="720"/>
      </w:pPr>
      <w:r/>
      <w:r>
        <w:rPr>
          <w:b/>
        </w:rPr>
        <w:t>Practical support:</w:t>
      </w:r>
      <w:r>
        <w:t xml:space="preserve"> Hygiene kits, IEC materials in Kapampangan, and plans to digitise beneficiary data aimed to reach more women and LGBTQIA+ residents.</w:t>
      </w:r>
      <w:r/>
    </w:p>
    <w:p>
      <w:pPr>
        <w:pStyle w:val="ListBullet"/>
        <w:spacing w:line="240" w:lineRule="auto"/>
        <w:ind w:left="720"/>
      </w:pPr>
      <w:r/>
      <w:r>
        <w:rPr>
          <w:b/>
        </w:rPr>
        <w:t>Direct assistance:</w:t>
      </w:r>
      <w:r>
        <w:t xml:space="preserve"> Livelihood cash incentives and free make-up tutorials benefited salon owners, LGBTQIA+ members and around 100 participants through public–private partnerships.</w:t>
      </w:r>
      <w:r/>
    </w:p>
    <w:p>
      <w:pPr>
        <w:pStyle w:val="ListBullet"/>
        <w:spacing w:line="240" w:lineRule="auto"/>
        <w:ind w:left="720"/>
      </w:pPr>
      <w:r/>
      <w:r>
        <w:rPr>
          <w:b/>
        </w:rPr>
        <w:t>Recognition and partnership:</w:t>
      </w:r>
      <w:r>
        <w:t xml:space="preserve"> SM City San Fernando Downtown helped sponsor training and a “Serbisyo para sa Kababaihan” recognition programme for women employees.</w:t>
      </w:r>
      <w:r/>
      <w:r/>
    </w:p>
    <w:p>
      <w:pPr>
        <w:pStyle w:val="Heading2"/>
      </w:pPr>
      <w:r>
        <w:t>Why a Women’s Walk and Zumba matter , it’s more than exercise</w:t>
      </w:r>
      <w:r/>
    </w:p>
    <w:p>
      <w:r/>
      <w:r>
        <w:t>There’s an energy to seeing a whole town turn out for a walk and a mass Zumba session; it’s loud, visual and suddenly the idea of inclusion feels local and tangible. Santa Rita’s mayor said the LGU workforce is majority female, so making a public, celebratory gesture doubles as acknowledgement and morale-boosting. Simple, active events get people physically together, reduce barriers to attendance and create a friendly way to open tougher conversations later in the day. If you’re planning something similar, pick a central route, keep it short and offer refreshments or a cool-down zone , that small kindness keeps attendance high and the atmosphere inclusive.</w:t>
      </w:r>
      <w:r/>
    </w:p>
    <w:p>
      <w:pPr>
        <w:pStyle w:val="Heading2"/>
      </w:pPr>
      <w:r>
        <w:t>Legal briefings: awareness is the start of empowerment</w:t>
      </w:r>
      <w:r/>
    </w:p>
    <w:p>
      <w:r/>
      <w:r>
        <w:t>Orientations on Republic Act 9710 (Magna Carta of Women) and RA 9262 (Anti-Violence Against Women and Their Children) were central to Santa Rita’s programme, underlining that empowerment starts with knowing rights. Police Captain Elsa Casupanan led the lecture for LGU staff, reminding participants that legal protection is practical, not abstract. According to government resources, these laws outline entitlements and protections that local offices can help enforce. Local councils thinking of copying this approach should invite legal or police speakers, prepare clear leaflets and set up a simple follow-up channel , a hotline or designated officer , so information becomes action.</w:t>
      </w:r>
      <w:r/>
    </w:p>
    <w:p>
      <w:pPr>
        <w:pStyle w:val="Heading2"/>
      </w:pPr>
      <w:r>
        <w:t>Local language materials and digitised outreach actually change reach</w:t>
      </w:r>
      <w:r/>
    </w:p>
    <w:p>
      <w:r/>
      <w:r>
        <w:t>Municipal Administrator Earl Tongol highlighted a small but powerful detail: IEC materials were translated into Kapampangan, making them easier to absorb for residents who prefer the local tongue. Language matters, and so does data. Tongol also flagged plans to digitise beneficiary records to better target assistance for women and LGBTQIA+ applicants. That’s smart: digital records reduce missed opportunities and speed up help. If you run community outreach, translate materials, test them with a few residents, and think about simple digital capture , even a basic spreadsheet or form can make a big difference.</w:t>
      </w:r>
      <w:r/>
    </w:p>
    <w:p>
      <w:pPr>
        <w:pStyle w:val="Heading2"/>
      </w:pPr>
      <w:r>
        <w:t>Livelihood aid, make-up tutorials and recognition , practical dignity</w:t>
      </w:r>
      <w:r/>
    </w:p>
    <w:p>
      <w:r/>
      <w:r>
        <w:t>Social Welfare head Jacqueline Quiambao led cash incentives and livelihood support aimed at LGBTQIA+ members and beauty shop owners, while a sponsored make-up tutorial reached around 100 participants. Practical support like cash for starting or sustaining a small service business, plus skills sessions, shows respect for economic needs rather than only symbolic gestures. Partnerships with local businesses , in this case SM City San Fernando Downtown , extend capacity and visibility. When designing aid, match the amount and training to real costs, invite feedback from beneficiaries, and consider small follow-up grants or mentoring so support sticks.</w:t>
      </w:r>
      <w:r/>
    </w:p>
    <w:p>
      <w:pPr>
        <w:pStyle w:val="Heading2"/>
      </w:pPr>
      <w:r>
        <w:t>Partnerships and recognition: why public–private programmes pay off</w:t>
      </w:r>
      <w:r/>
    </w:p>
    <w:p>
      <w:r/>
      <w:r>
        <w:t>The event’s public–private partnership model meant the LGU could offer workshops, recognition and materials without shouldering everything. Corporate sponsorship from a well-known mall gave scale and a recognisable “stamp” of community support. Recognition programmes , like “Serbisyo para sa Kababaihan” , help spotlight staff and volunteers while encouraging others to participate next year. They’re inexpensive but meaningful. Local councils should seek partners with aligned values, agree clear deliverables and keep recognition sincere; people notice when awards are token and when they’re earned.</w:t>
      </w:r>
      <w:r/>
    </w:p>
    <w:p>
      <w:r/>
      <w:r>
        <w:t>It's a small change that can make every community celebration more inclusive and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https://punto.com.ph/santa-rita-closes-march-with-women-lgbt-festivities/</w:t>
        </w:r>
      </w:hyperlink>
      <w:r>
        <w:t xml:space="preserve"> - Please view link - unable to able to access data</w:t>
      </w:r>
      <w:r/>
    </w:p>
    <w:p>
      <w:pPr>
        <w:pStyle w:val="ListNumber"/>
        <w:spacing w:line="240" w:lineRule="auto"/>
        <w:ind w:left="720"/>
      </w:pPr>
      <w:r/>
      <w:hyperlink r:id="rId9">
        <w:r>
          <w:rPr>
            <w:color w:val="0000EE"/>
            <w:u w:val="single"/>
          </w:rPr>
          <w:t>https://punto.com.ph/santa-rita-closes-march-with-women-lgbt-festivities/</w:t>
        </w:r>
      </w:hyperlink>
      <w:r>
        <w:t xml:space="preserve"> - The article reports on Santa Rita, Pampanga's National Women's Month celebration on March 31, 2026, featuring activities like a Women's Walk, free Zumba session, and lectures on women's rights laws. Mayor Reynan Calo highlighted the municipality's female-majority workforce and leadership. Police Captain Elsa Casupanan educated personnel on Republic Act 9710 (Magna Carta of Women) and Republic Act 9262 (Anti-Violence Against Women and Their Children Act). Municipal Administrator Earl Tongol distributed hygiene kits and localized IEC materials in Kapampangan. Social Welfare head Jacqueline Quiambao provided livelihood assistance to LGBTQIA+ members and beauty shop owners, with a free make-up tutorial sponsored by SM City San Fernando Downtown. The event also featured the 'Serbisyo para sa Kababaihan' initiative, recognizing women employees and sectoral representatives.</w:t>
      </w:r>
      <w:r/>
    </w:p>
    <w:p>
      <w:pPr>
        <w:pStyle w:val="ListNumber"/>
        <w:spacing w:line="240" w:lineRule="auto"/>
        <w:ind w:left="720"/>
      </w:pPr>
      <w:r/>
      <w:hyperlink r:id="rId10">
        <w:r>
          <w:rPr>
            <w:color w:val="0000EE"/>
            <w:u w:val="single"/>
          </w:rPr>
          <w:t>https://psau.edu.ph/psau-joins-the-national-womens-month-2026-kickoff-celebration/</w:t>
        </w:r>
      </w:hyperlink>
      <w:r>
        <w:t xml:space="preserve"> - Pampanga State Agricultural University (PSAU) participated in the National Women's Month 2026 Kickoff Celebration on March 6, 2026, at the Rizal Memorial Coliseum in Manila. Organized by the Philippine Commission on Women, the event gathered representatives from various sectors to promote women's rights and gender-responsive policies. PSAU's delegation included Gender and Development Director Assoc. Prof. Marie Ann Diamse-Valerio, Office of Extension and Training Director Dr. Amalia C. Briones, and Community Development Officer I Ms. Jocelyn D. Baluyut, reaffirming the university's commitment to gender equality and women's empowerment.</w:t>
      </w:r>
      <w:r/>
    </w:p>
    <w:p>
      <w:pPr>
        <w:pStyle w:val="ListNumber"/>
        <w:spacing w:line="240" w:lineRule="auto"/>
        <w:ind w:left="720"/>
      </w:pPr>
      <w:r/>
      <w:hyperlink r:id="rId11">
        <w:r>
          <w:rPr>
            <w:color w:val="0000EE"/>
            <w:u w:val="single"/>
          </w:rPr>
          <w:t>https://lawphil.net/statutes/repacts/ra2004/ra_9262_2004.html</w:t>
        </w:r>
      </w:hyperlink>
      <w:r>
        <w:t xml:space="preserve"> - Republic Act No. 9262, known as the Anti-Violence Against Women and Their Children Act of 2004, defines acts of violence against women and children, including physical harm, threats, and economic abuse. It outlines protection orders and penalties for offenders, aiming to safeguard women and children from violence. The law emphasizes the State's duty to protect and promote the rights of women and children, ensuring their safety and well-being.</w:t>
      </w:r>
      <w:r/>
    </w:p>
    <w:p>
      <w:pPr>
        <w:pStyle w:val="ListNumber"/>
        <w:spacing w:line="240" w:lineRule="auto"/>
        <w:ind w:left="720"/>
      </w:pPr>
      <w:r/>
      <w:hyperlink r:id="rId13">
        <w:r>
          <w:rPr>
            <w:color w:val="0000EE"/>
            <w:u w:val="single"/>
          </w:rPr>
          <w:t>https://www.chanrobles.com/republicacts/republicactno9710.html</w:t>
        </w:r>
      </w:hyperlink>
      <w:r>
        <w:t xml:space="preserve"> - Republic Act No. 9710, known as the Magna Carta of Women, is a comprehensive women's human rights law in the Philippines. It aims to eliminate discrimination against women by recognizing, protecting, fulfilling, and promoting the rights of Filipino women. The Act covers various aspects, including health, education, economic empowerment, and protection from violence, ensuring equal treatment and opportunities for women in all spheres of society.</w:t>
      </w:r>
      <w:r/>
    </w:p>
    <w:p>
      <w:pPr>
        <w:pStyle w:val="ListNumber"/>
        <w:spacing w:line="240" w:lineRule="auto"/>
        <w:ind w:left="720"/>
      </w:pPr>
      <w:r/>
      <w:hyperlink r:id="rId12">
        <w:r>
          <w:rPr>
            <w:color w:val="0000EE"/>
            <w:u w:val="single"/>
          </w:rPr>
          <w:t>https://www.csc.gov.ph/programs/magna-carta-of-women-ra9710</w:t>
        </w:r>
      </w:hyperlink>
      <w:r>
        <w:t xml:space="preserve"> - The Civil Service Commission (CSC) provides an overview of Republic Act No. 9710, the Magna Carta of Women, which strengthens existing laws and policies to empower and protect women. Enacted on August 14, 2009, the Act ensures equal rights and opportunities for men and women, promoting gender equality and women's empowerment in the Philippines. It covers various provisions, including protection from violence, equal employment opportunities, and participation in decision-making processes.</w:t>
      </w:r>
      <w:r/>
    </w:p>
    <w:p>
      <w:pPr>
        <w:pStyle w:val="ListNumber"/>
        <w:spacing w:line="240" w:lineRule="auto"/>
        <w:ind w:left="720"/>
      </w:pPr>
      <w:r/>
      <w:hyperlink r:id="rId14">
        <w:r>
          <w:rPr>
            <w:color w:val="0000EE"/>
            <w:u w:val="single"/>
          </w:rPr>
          <w:t>https://www.ombudsman.gov.ph/GAD/Laws%20and%20Mandates/republic_act_9710.pdf</w:t>
        </w:r>
      </w:hyperlink>
      <w:r>
        <w:t xml:space="preserve"> - The Implementing Rules and Regulations (IRR) of Republic Act No. 9710, the Magna Carta of Women, provide detailed guidelines for the law's enforcement. The IRR outlines the roles and responsibilities of various government agencies, local government units, and other stakeholders in implementing the Act. It also specifies procedures for filing complaints, penalties for violations, and mechanisms for monitoring and evaluating the law's effectiveness in promoting women's rights and gender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to.com.ph/santa-rita-closes-march-with-women-lgbt-festivities/" TargetMode="External"/><Relationship Id="rId10" Type="http://schemas.openxmlformats.org/officeDocument/2006/relationships/hyperlink" Target="https://psau.edu.ph/psau-joins-the-national-womens-month-2026-kickoff-celebration/" TargetMode="External"/><Relationship Id="rId11" Type="http://schemas.openxmlformats.org/officeDocument/2006/relationships/hyperlink" Target="https://lawphil.net/statutes/repacts/ra2004/ra_9262_2004.html" TargetMode="External"/><Relationship Id="rId12" Type="http://schemas.openxmlformats.org/officeDocument/2006/relationships/hyperlink" Target="https://www.csc.gov.ph/programs/magna-carta-of-women-ra9710" TargetMode="External"/><Relationship Id="rId13" Type="http://schemas.openxmlformats.org/officeDocument/2006/relationships/hyperlink" Target="https://www.chanrobles.com/republicacts/republicactno9710.html" TargetMode="External"/><Relationship Id="rId14" Type="http://schemas.openxmlformats.org/officeDocument/2006/relationships/hyperlink" Target="https://www.ombudsman.gov.ph/GAD/Laws%20and%20Mandates/republic_act_97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