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 for LGBTQ+ Movements to Mend Fissures and Move Forward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Watchful voices in the gay community are urging a calmer approach to trans activism, saying strategy and patience will protect decades of progress and keep the whole queer family safer and stronger. This matters because fractured coalitions weaken access to healthcare, rights, and everyday dignity for everyone.</w:t>
      </w:r>
      <w:r/>
    </w:p>
    <w:p>
      <w:r/>
      <w:r>
        <w:t>Essential Takeaways</w:t>
      </w:r>
      <w:r/>
      <w:r/>
    </w:p>
    <w:p>
      <w:pPr>
        <w:pStyle w:val="ListBullet"/>
        <w:spacing w:line="240" w:lineRule="auto"/>
        <w:ind w:left="720"/>
      </w:pPr>
      <w:r/>
      <w:r>
        <w:rPr>
          <w:b/>
        </w:rPr>
        <w:t>Tension growing:</w:t>
      </w:r>
      <w:r>
        <w:t xml:space="preserve"> Some older gay and lesbian activists worry certain trans-activist tactics feel confrontational, risking public goodwill.</w:t>
      </w:r>
      <w:r/>
    </w:p>
    <w:p>
      <w:pPr>
        <w:pStyle w:val="ListBullet"/>
        <w:spacing w:line="240" w:lineRule="auto"/>
        <w:ind w:left="720"/>
      </w:pPr>
      <w:r/>
      <w:r>
        <w:rPr>
          <w:b/>
        </w:rPr>
        <w:t>History matters:</w:t>
      </w:r>
      <w:r>
        <w:t xml:space="preserve"> Mid-century gay campaigns combined protest with persuasion and long-term strategy to win rights.</w:t>
      </w:r>
      <w:r/>
    </w:p>
    <w:p>
      <w:pPr>
        <w:pStyle w:val="ListBullet"/>
        <w:spacing w:line="240" w:lineRule="auto"/>
        <w:ind w:left="720"/>
      </w:pPr>
      <w:r/>
      <w:r>
        <w:rPr>
          <w:b/>
        </w:rPr>
        <w:t>Practical cost:</w:t>
      </w:r>
      <w:r>
        <w:t xml:space="preserve"> Alienating allies can shrink support for healthcare and legal protections that benefit all LGBTQ+ people.</w:t>
      </w:r>
      <w:r/>
    </w:p>
    <w:p>
      <w:pPr>
        <w:pStyle w:val="ListBullet"/>
        <w:spacing w:line="240" w:lineRule="auto"/>
        <w:ind w:left="720"/>
      </w:pPr>
      <w:r/>
      <w:r>
        <w:rPr>
          <w:b/>
        </w:rPr>
        <w:t>Tone and tactics:</w:t>
      </w:r>
      <w:r>
        <w:t xml:space="preserve"> Calm, educational responses often work better with sceptical publics than shaming; empathy encourages questions rather than shutting them down.</w:t>
      </w:r>
      <w:r/>
    </w:p>
    <w:p>
      <w:pPr>
        <w:pStyle w:val="ListBullet"/>
        <w:spacing w:line="240" w:lineRule="auto"/>
        <w:ind w:left="720"/>
      </w:pPr>
      <w:r/>
      <w:r>
        <w:rPr>
          <w:b/>
        </w:rPr>
        <w:t>Shared future:</w:t>
      </w:r>
      <w:r>
        <w:t xml:space="preserve"> Many argue the movement succeeds when it balances urgency with strategic outreach and internal listening.</w:t>
      </w:r>
      <w:r/>
      <w:r/>
    </w:p>
    <w:p>
      <w:pPr>
        <w:pStyle w:val="Heading2"/>
      </w:pPr>
      <w:r>
        <w:t>What’s happening now , and why people are uneasy</w:t>
      </w:r>
      <w:r/>
    </w:p>
    <w:p>
      <w:r/>
      <w:r>
        <w:t>There’s real worry among some long-time LGBTQ+ advocates that visible friction between parts of the gay and trans communities hurts collective goals. Anecdotes of tense encounters , a sharp correction over a pronoun in a clinic lobby, for instance , are making the rounds and leaving people uneasy. According to reporting on culture and movement dynamics, those flashpoints aren’t usually born of malice but of high stakes and frayed nerves.</w:t>
      </w:r>
      <w:r/>
    </w:p>
    <w:p>
      <w:r/>
      <w:r>
        <w:t>That doesn’t erase the urgent threats trans people face, from violence to barriers to care, but it helps explain why some older activists urge restraint. They point to decades of organising where persuasion, small victories and coalition-building slowly shifted public opinion. The practical takeaway is simple: tactics that alienate potential allies can undermine long-term wins.</w:t>
      </w:r>
      <w:r/>
    </w:p>
    <w:p>
      <w:pPr>
        <w:pStyle w:val="Heading2"/>
      </w:pPr>
      <w:r>
        <w:t>Lessons from history: persuasion as a craft, not just protest</w:t>
      </w:r>
      <w:r/>
    </w:p>
    <w:p>
      <w:r/>
      <w:r>
        <w:t>The mid-20th-century gay rights movement didn’t triumph on rage alone; it mixed protest with patient persuasion, legal strategy and culturally savvy campaigns. Histories of trans activism and LGBTQ+ movements show similar ebbs and flows , moments of visibility followed by backlash, moments of coalition followed by schisms.</w:t>
      </w:r>
      <w:r/>
    </w:p>
    <w:p>
      <w:r/>
      <w:r>
        <w:t>Looking at groups who reclaimed space at Pride and earlier direct-action campaigns, activists learned to customise messaging for different audiences and to protect fragile gains. For current movements, revisiting those playbooks , not to temper urgency but to channel it , could keep pressure on policymakers while expanding public understanding.</w:t>
      </w:r>
      <w:r/>
    </w:p>
    <w:p>
      <w:pPr>
        <w:pStyle w:val="Heading2"/>
      </w:pPr>
      <w:r>
        <w:t>Why tone matters in everyday encounters</w:t>
      </w:r>
      <w:r/>
    </w:p>
    <w:p>
      <w:r/>
      <w:r>
        <w:t>When curiosity is treated as an attack, people stop asking and start avoiding. That’s what veterans warn about: public ignorance is real, and shaming shuts down conversation rather than converting minds. Research into social attitudes suggests that non-confrontational, explanatory approaches often move undecided people more effectively.</w:t>
      </w:r>
      <w:r/>
    </w:p>
    <w:p>
      <w:r/>
      <w:r>
        <w:t>Practically, that means training frontline staff and organisers in de-escalation, offering simple explanations when asked, and choosing settings for direct challenges carefully. It also means acknowledging the emotional labour trans people do while insisting that strategy and tone can be taught and learned.</w:t>
      </w:r>
      <w:r/>
    </w:p>
    <w:p>
      <w:pPr>
        <w:pStyle w:val="Heading2"/>
      </w:pPr>
      <w:r>
        <w:t>Where strategy and urgency can coexist</w:t>
      </w:r>
      <w:r/>
    </w:p>
    <w:p>
      <w:r/>
      <w:r>
        <w:t>Urgency , the real, measurable risks to trans lives , doesn’t have to mean entitlement to instantaneous consensus. Movement veterans argue that urgency should drive resource allocation, advocacy for policy change, and protective services, while tactical humility governs public outreach. Both can happen at once: direct action to protect rights, and quieter education to grow support.</w:t>
      </w:r>
      <w:r/>
    </w:p>
    <w:p>
      <w:r/>
      <w:r>
        <w:t>For campaigners that can feel like a two-track approach. One team presses lawmakers and healthcare providers; another nurtures public empathy through storytelling, local dialogues and patience. That balance helps prevent the sort of backlash that can roll back rights for everyone.</w:t>
      </w:r>
      <w:r/>
    </w:p>
    <w:p>
      <w:pPr>
        <w:pStyle w:val="Heading2"/>
      </w:pPr>
      <w:r>
        <w:t>Practical tips for activists and allies</w:t>
      </w:r>
      <w:r/>
    </w:p>
    <w:p>
      <w:r/>
      <w:r>
        <w:t>If you’re organising, try modular tactics: plan high-visibility actions with clear objectives, and pair them with community education events that welcome questions. If you’re an older activist, share history and strategy without lecturing; if you’re younger and furious, channel that energy into measurable wins and relationship-building. Allies can model curiosity by asking, listening and forgiving honest mistakes.</w:t>
      </w:r>
      <w:r/>
    </w:p>
    <w:p>
      <w:r/>
      <w:r>
        <w:t>Training in communication, basic conflict resolution and trauma-informed approaches will help clinics, Pride groups and social spaces stay inclusive without sacrificing accountability. Above all, remember that movements that persist do so because they keep building, not because they burn bridges.</w:t>
      </w:r>
      <w:r/>
    </w:p>
    <w:p>
      <w:r/>
      <w:r>
        <w:t>It’s a small change in tone that could keep the whole house standing.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1">
        <w:r>
          <w:rPr>
            <w:color w:val="0000EE"/>
            <w:u w:val="single"/>
          </w:rPr>
          <w:t>[7]</w:t>
        </w:r>
      </w:hyperlink>
      <w:r>
        <w:t xml:space="preserve">, </w:t>
      </w:r>
      <w:hyperlink r:id="rId14">
        <w:r>
          <w:rPr>
            <w:color w:val="0000EE"/>
            <w:u w:val="single"/>
          </w:rPr>
          <w:t>[5]</w:t>
        </w:r>
      </w:hyperlink>
      <w:r>
        <w:t xml:space="preserve">- Paragraph 4: </w:t>
      </w:r>
      <w:hyperlink r:id="rId12">
        <w:r>
          <w:rPr>
            <w:color w:val="0000EE"/>
            <w:u w:val="single"/>
          </w:rPr>
          <w:t>[3]</w:t>
        </w:r>
      </w:hyperlink>
      <w:r>
        <w:t xml:space="preserve">, </w:t>
      </w:r>
      <w:hyperlink r:id="rId13">
        <w:r>
          <w:rPr>
            <w:color w:val="0000EE"/>
            <w:u w:val="single"/>
          </w:rPr>
          <w:t>[4]</w:t>
        </w:r>
      </w:hyperlink>
      <w:r>
        <w:t xml:space="preserve">- Paragraph 5: </w:t>
      </w:r>
      <w:hyperlink r:id="rId10">
        <w:r>
          <w:rPr>
            <w:color w:val="0000EE"/>
            <w:u w:val="single"/>
          </w:rPr>
          <w:t>[2]</w:t>
        </w:r>
      </w:hyperlink>
      <w:r>
        <w:t xml:space="preserve">, </w:t>
      </w:r>
      <w:hyperlink r:id="rId15">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https://www.ambushmag.com/rockford-files-family-feud-lgb-vs-t/#utm_source=rss&amp;utm_medium=rss&amp;utm_campaign=rockford-files-family-feud-lgb-vs-t</w:t>
        </w:r>
      </w:hyperlink>
      <w:r>
        <w:t xml:space="preserve"> - Please view link - unable to able to access data</w:t>
      </w:r>
      <w:r/>
    </w:p>
    <w:p>
      <w:pPr>
        <w:pStyle w:val="ListNumber"/>
        <w:spacing w:line="240" w:lineRule="auto"/>
        <w:ind w:left="720"/>
      </w:pPr>
      <w:r/>
      <w:hyperlink r:id="rId10">
        <w:r>
          <w:rPr>
            <w:color w:val="0000EE"/>
            <w:u w:val="single"/>
          </w:rPr>
          <w:t>https://www.apnews.com/article/a2971bdc2731f88ceacd64d7614d6152</w:t>
        </w:r>
      </w:hyperlink>
      <w:r>
        <w:t xml:space="preserve"> - A recent Pew Research Center poll reveals that LGBTQ+ adults in the U.S. perceive significantly less social acceptance for transgender and nonbinary individuals compared to gay and lesbian people. While about 60% of respondents felt there was considerable acceptance for gay and lesbian individuals, only 10% said the same for transgender people, with nearly half indicating minimal or no acceptance. This perception is intensified by the rise in state laws restricting gender-affirming care for minors and regulating transgender participation in public life, such as bathroom use and sports. The climate has worsened since President Donald Trump’s return to office, where he initiated policies that challenge the legitimacy of transgender identities, including an executive order defining gender strictly by biological conception and efforts to limit transgender rights in healthcare and military service. The survey also highlighted that transgender individuals often feel less accepted by family and rely more on LGBTQ+ community ties for support. Despite the challenges, community organizers like Aubrey Campos emphasize resilience and unity amid increasingly hostile policies and social attitudes. The Supreme Court’s upcoming ruling on Tennessee’s ban on gender-affirming care for minors is poised to significantly impact transgender rights in the U.S.</w:t>
      </w:r>
      <w:r/>
    </w:p>
    <w:p>
      <w:pPr>
        <w:pStyle w:val="ListNumber"/>
        <w:spacing w:line="240" w:lineRule="auto"/>
        <w:ind w:left="720"/>
      </w:pPr>
      <w:r/>
      <w:hyperlink r:id="rId12">
        <w:r>
          <w:rPr>
            <w:color w:val="0000EE"/>
            <w:u w:val="single"/>
          </w:rPr>
          <w:t>https://www.processhistory.org/historicizing-trans-activism/</w:t>
        </w:r>
      </w:hyperlink>
      <w:r>
        <w:t xml:space="preserve"> - This article examines the history of transgender activism in the United States from 1952 to 1992, highlighting the evolution of trans politics and its intersections with issues of race, class, immigration, sex work, incarceration, HIV/AIDS, reproductive justice, and disability. It discusses the challenges faced by trans activists, including exclusion from mainstream LGBTQ+ movements and the need for a more inclusive approach to social justice. The piece emphasizes the importance of understanding the historical context of trans activism to inform current and future advocacy efforts.</w:t>
      </w:r>
      <w:r/>
    </w:p>
    <w:p>
      <w:pPr>
        <w:pStyle w:val="ListNumber"/>
        <w:spacing w:line="240" w:lineRule="auto"/>
        <w:ind w:left="720"/>
      </w:pPr>
      <w:r/>
      <w:hyperlink r:id="rId13">
        <w:r>
          <w:rPr>
            <w:color w:val="0000EE"/>
            <w:u w:val="single"/>
          </w:rPr>
          <w:t>https://pmc.ncbi.nlm.nih.gov/articles/PMC7394469/</w:t>
        </w:r>
      </w:hyperlink>
      <w:r>
        <w:t xml:space="preserve"> - This study explores the experiences of transgender individuals engaged in activism, highlighting both the empowering and stressful aspects of their involvement. Participants reported that activism exposed them to a supportive community, enhancing their self-worth and providing opportunities to develop new relationships and learn about their legal rights. However, they also faced stress and overwhelm due to the extensive anti-trans stigma present in society. The article underscores the emotional complexities of transgender activism and the need for supportive networks to sustain activists.</w:t>
      </w:r>
      <w:r/>
    </w:p>
    <w:p>
      <w:pPr>
        <w:pStyle w:val="ListNumber"/>
        <w:spacing w:line="240" w:lineRule="auto"/>
        <w:ind w:left="720"/>
      </w:pPr>
      <w:r/>
      <w:hyperlink r:id="rId14">
        <w:r>
          <w:rPr>
            <w:color w:val="0000EE"/>
            <w:u w:val="single"/>
          </w:rPr>
          <w:t>https://en.wikipedia.org/wiki/The_Transexual_Menace</w:t>
        </w:r>
      </w:hyperlink>
      <w:r>
        <w:t xml:space="preserve"> - The Transexual Menace, or The Menace, was a transgender rights activist organization founded in New York City in 1993. It was the first direct action group of its kind and grew to be a national organisation with 24 chapters. After a period of dormancy, The Menace returned in 2025 as a response to transphobic policies made by President Donald Trump and other politicians. The group was founded in 1993 by transgender activists including Riki Wilchins and Denise Norris, in response to the exclusion of transgender people from lesbian, gay, and bisexual Pride marches.</w:t>
      </w:r>
      <w:r/>
    </w:p>
    <w:p>
      <w:pPr>
        <w:pStyle w:val="ListNumber"/>
        <w:spacing w:line="240" w:lineRule="auto"/>
        <w:ind w:left="720"/>
      </w:pPr>
      <w:r/>
      <w:hyperlink r:id="rId15">
        <w:r>
          <w:rPr>
            <w:color w:val="0000EE"/>
            <w:u w:val="single"/>
          </w:rPr>
          <w:t>https://www.marxists.org/history/etol/newspape/atc/966.html</w:t>
        </w:r>
      </w:hyperlink>
      <w:r>
        <w:t xml:space="preserve"> - This article discusses the historical challenges faced by transgender individuals within the LGBTQ+ community, particularly during the late 1970s and early 1980s. It highlights instances of exclusion from lesbian and queer groups, such as the forced resignation of Sandy Stone from the Olivia Records collective due to a threatened consumer boycott. The piece also examines the psychological and social impacts of enforced closeting and the pressure to conform to heterosexual norms, emphasizing the need for inclusivity and acceptance within the LGBTQ+ community.</w:t>
      </w:r>
      <w:r/>
    </w:p>
    <w:p>
      <w:pPr>
        <w:pStyle w:val="ListNumber"/>
        <w:spacing w:line="240" w:lineRule="auto"/>
        <w:ind w:left="720"/>
      </w:pPr>
      <w:r/>
      <w:hyperlink r:id="rId11">
        <w:r>
          <w:rPr>
            <w:color w:val="0000EE"/>
            <w:u w:val="single"/>
          </w:rPr>
          <w:t>https://www.kqed.org/arts/13858877/how-the-trans-community-reclaimed-its-rightful-place-at-pride</w:t>
        </w:r>
      </w:hyperlink>
      <w:r>
        <w:t xml:space="preserve"> - This article explores the historical exclusion of transgender individuals from Pride events and their efforts to reclaim their rightful place within these celebrations. It discusses the formation of the first Trans March in 2004 in San Francisco, which aimed to address the marginalisation of trans people within the broader LGBTQ+ community. The piece also examines the factors that led to this exclusion, including the focus on assimilation and the desire to present a conformist image to mainstream society, and highlights the ongoing struggle for trans inclusion and visibility.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mbushmag.com/rockford-files-family-feud-lgb-vs-t/#utm_source=rss&amp;utm_medium=rss&amp;utm_campaign=rockford-files-family-feud-lgb-vs-t" TargetMode="External"/><Relationship Id="rId10" Type="http://schemas.openxmlformats.org/officeDocument/2006/relationships/hyperlink" Target="https://www.apnews.com/article/a2971bdc2731f88ceacd64d7614d6152" TargetMode="External"/><Relationship Id="rId11" Type="http://schemas.openxmlformats.org/officeDocument/2006/relationships/hyperlink" Target="https://www.kqed.org/arts/13858877/how-the-trans-community-reclaimed-its-rightful-place-at-pride" TargetMode="External"/><Relationship Id="rId12" Type="http://schemas.openxmlformats.org/officeDocument/2006/relationships/hyperlink" Target="https://www.processhistory.org/historicizing-trans-activism/" TargetMode="External"/><Relationship Id="rId13" Type="http://schemas.openxmlformats.org/officeDocument/2006/relationships/hyperlink" Target="https://pmc.ncbi.nlm.nih.gov/articles/PMC7394469/" TargetMode="External"/><Relationship Id="rId14" Type="http://schemas.openxmlformats.org/officeDocument/2006/relationships/hyperlink" Target="https://en.wikipedia.org/wiki/The_Transexual_Menace" TargetMode="External"/><Relationship Id="rId15" Type="http://schemas.openxmlformats.org/officeDocument/2006/relationships/hyperlink" Target="https://www.marxists.org/history/etol/newspape/atc/96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