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Campus Pride Practices for a Welcoming University Experience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campus life that actually fits , students, staff and allies are building visible, practical inclusion across universities so everyone can belong. This guide looks at what works: policies, gender-affirming care, curricula, student groups and everyday campus changes that make university life safer, healthier and more vibrant.</w:t>
      </w:r>
      <w:r/>
    </w:p>
    <w:p>
      <w:r/>
      <w:r>
        <w:t>Essential Takeaways</w:t>
      </w:r>
      <w:r/>
      <w:r/>
    </w:p>
    <w:p>
      <w:pPr>
        <w:pStyle w:val="ListBullet"/>
        <w:spacing w:line="240" w:lineRule="auto"/>
        <w:ind w:left="720"/>
      </w:pPr>
      <w:r/>
      <w:r>
        <w:rPr>
          <w:b/>
        </w:rPr>
        <w:t>Clear policies matter:</w:t>
      </w:r>
      <w:r>
        <w:t xml:space="preserve"> Non-discrimination and gender-affirming procedures set the tone and reduce daily barriers for LGBTQ+ students. </w:t>
      </w:r>
      <w:r/>
    </w:p>
    <w:p>
      <w:pPr>
        <w:pStyle w:val="ListBullet"/>
        <w:spacing w:line="240" w:lineRule="auto"/>
        <w:ind w:left="720"/>
      </w:pPr>
      <w:r/>
      <w:r>
        <w:rPr>
          <w:b/>
        </w:rPr>
        <w:t>Integrated support is practical:</w:t>
      </w:r>
      <w:r>
        <w:t xml:space="preserve"> Embedding services into residence halls, classes and student hubs makes help feel normal and easy to reach. </w:t>
      </w:r>
      <w:r/>
    </w:p>
    <w:p>
      <w:pPr>
        <w:pStyle w:val="ListBullet"/>
        <w:spacing w:line="240" w:lineRule="auto"/>
        <w:ind w:left="720"/>
      </w:pPr>
      <w:r/>
      <w:r>
        <w:rPr>
          <w:b/>
        </w:rPr>
        <w:t>Visible community builds belonging:</w:t>
      </w:r>
      <w:r>
        <w:t xml:space="preserve"> Regular events, student-led groups and shared storytelling create a warm, lived sense of welcome. </w:t>
      </w:r>
      <w:r/>
    </w:p>
    <w:p>
      <w:pPr>
        <w:pStyle w:val="ListBullet"/>
        <w:spacing w:line="240" w:lineRule="auto"/>
        <w:ind w:left="720"/>
      </w:pPr>
      <w:r/>
      <w:r>
        <w:rPr>
          <w:b/>
        </w:rPr>
        <w:t>Health access is crucial:</w:t>
      </w:r>
      <w:r>
        <w:t xml:space="preserve"> Equitable, accessible healthcare , including gender-affirming care , directly affects retention and wellbeing. </w:t>
      </w:r>
      <w:r/>
    </w:p>
    <w:p>
      <w:pPr>
        <w:pStyle w:val="ListBullet"/>
        <w:spacing w:line="240" w:lineRule="auto"/>
        <w:ind w:left="720"/>
      </w:pPr>
      <w:r/>
      <w:r>
        <w:rPr>
          <w:b/>
        </w:rPr>
        <w:t>Curriculum and training change culture:</w:t>
      </w:r>
      <w:r>
        <w:t xml:space="preserve"> Inclusive syllabuses and staff training turn good intentions into everyday practice.</w:t>
      </w:r>
      <w:r/>
      <w:r/>
    </w:p>
    <w:p>
      <w:pPr>
        <w:pStyle w:val="Heading2"/>
      </w:pPr>
      <w:r>
        <w:t>Why clear non-discrimination policies are your campus foundation</w:t>
      </w:r>
      <w:r/>
    </w:p>
    <w:p>
      <w:r/>
      <w:r>
        <w:t>Start with rules that actually protect people, not just aspirational statements; that’s the fastest, most visible change. According to advocacy groups, clear, enforceable policies reassure students and staff and provide a basis for holding the institution accountable. When leadership publishes standards and follows them through , with reporting routes, consequences and education , students feel safer saying when things go wrong. Practical tip: make policy language simple, widely shared, and tied to an anonymous reporting option so people can act without fear. Expect pushback at first; modelling and consistent enforcement gradually change behaviour.</w:t>
      </w:r>
      <w:r/>
    </w:p>
    <w:p>
      <w:pPr>
        <w:pStyle w:val="Heading2"/>
      </w:pPr>
      <w:r>
        <w:t>Gender-affirming care: why access isn’t optional</w:t>
      </w:r>
      <w:r/>
    </w:p>
    <w:p>
      <w:r/>
      <w:r>
        <w:t>Access to gender-affirming care is more than a medical issue , it’s a retention and mental-health issue. Public-health research shows that when campuses and insurers offer clear pathways to gender-affirming services, students report better wellbeing and lower distress. Universities can make a big difference by partnering with local providers, clarifying insurance coverage, and training campus health staff on respectful intake and referrals. For practical steps, create a one-page guide for students outlining where to go, what’s covered, and who to call in a crisis. It’s a quiet reassurance that tells students they belong.</w:t>
      </w:r>
      <w:r/>
    </w:p>
    <w:p>
      <w:pPr>
        <w:pStyle w:val="Heading2"/>
      </w:pPr>
      <w:r>
        <w:t>Embed support into daily campus life, don’t silo it</w:t>
      </w:r>
      <w:r/>
    </w:p>
    <w:p>
      <w:r/>
      <w:r>
        <w:t>Traditional models expect students to seek help out of hours and out of sight; integrated support meets learners where they are. Embed advisors in halls, host pop-up wellbeing sessions in unions, and offer course-linked workshops so support becomes part of study life. Research into student services suggests these touchpoints drastically increase usage, especially among students who might be hesitant to walk into a central office. If you’re an organiser, start small: a monthly drop-in in a common room or a peer mentor scheme in a department is often enough to change patterns of help-seeking.</w:t>
      </w:r>
      <w:r/>
    </w:p>
    <w:p>
      <w:pPr>
        <w:pStyle w:val="Heading2"/>
      </w:pPr>
      <w:r>
        <w:t>Build a visible, vibrant community with student leadership</w:t>
      </w:r>
      <w:r/>
    </w:p>
    <w:p>
      <w:r/>
      <w:r>
        <w:t>Visibility is contagious: regular events, story-sharing and student-led groups make inclusion feel lived, not prescribed. Campus Pride-style initiatives work best when students run the calendar, because peer-led activities feel authentic and draw wider participation. Celebrate history months, host panels that centre lived experience, and use social channels for user-generated content , those personal posts often do more to recruit newcomers than official communications. A small practical nudge: provide micro-grants to student groups so they can plan consistent events without the fundraising hassle.</w:t>
      </w:r>
      <w:r/>
    </w:p>
    <w:p>
      <w:pPr>
        <w:pStyle w:val="Heading2"/>
      </w:pPr>
      <w:r>
        <w:t>Make curricula and staff training part of the solution</w:t>
      </w:r>
      <w:r/>
    </w:p>
    <w:p>
      <w:r/>
      <w:r>
        <w:t>Inclusive classrooms matter. Practical curriculum guides and lesson-planning resources help lecturers integrate LGBTQ+ perspectives across disciplines, not just in isolated modules. Organisations that support teachers with ready-made activities report better uptake; it reduces the burden on individual staff and ensures students see themselves reflected across subjects. Pair curricular change with mandatory, practical training for faculty and residence staff on inclusive language, bias recognition, and supportive responses. Over time, these steps normalise respect and make classrooms safer conversational spaces.</w:t>
      </w:r>
      <w:r/>
    </w:p>
    <w:p>
      <w:pPr>
        <w:pStyle w:val="Heading2"/>
      </w:pPr>
      <w:r>
        <w:t>Connect campus advocacy to broader policy and careers</w:t>
      </w:r>
      <w:r/>
    </w:p>
    <w:p>
      <w:r/>
      <w:r>
        <w:t>Campus change doesn’t stop at the quad; it links to careers, policy and wider movements. Advocate for partnerships with local employers who value diverse hiring and provide internships that explicitly support LGBTQ+ students. Use climate surveys to track progress and feed results into institutional planning so improvements are data-driven. Remember: small wins on campus can influence local health and employment practices, and graduates who’ve experienced inclusion are likelier to push for change in the workplace.</w:t>
      </w:r>
      <w:r/>
    </w:p>
    <w:p>
      <w:r/>
      <w:r>
        <w:t>It's a small change that can make every student feel like they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15">
        <w:r>
          <w:rPr>
            <w:color w:val="0000EE"/>
            <w:u w:val="single"/>
          </w:rPr>
          <w:t>[3]</w:t>
        </w:r>
      </w:hyperlink>
      <w:r>
        <w:t xml:space="preserve">, </w:t>
      </w:r>
      <w:hyperlink r:id="rId10">
        <w:r>
          <w:rPr>
            <w:color w:val="0000EE"/>
            <w:u w:val="single"/>
          </w:rPr>
          <w:t>[2]</w:t>
        </w:r>
      </w:hyperlink>
      <w:r>
        <w:t xml:space="preserve">- Paragraph 6: </w:t>
      </w:r>
      <w:hyperlink r:id="rId15">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https://webuyhousesmemphistn.com/celebrating-campus-pride-your-guide-to-a-welcoming-2/</w:t>
        </w:r>
      </w:hyperlink>
      <w:r>
        <w:t xml:space="preserve"> - Please view link - unable to able to access data</w:t>
      </w:r>
      <w:r/>
    </w:p>
    <w:p>
      <w:pPr>
        <w:pStyle w:val="ListNumber"/>
        <w:spacing w:line="240" w:lineRule="auto"/>
        <w:ind w:left="720"/>
      </w:pPr>
      <w:r/>
      <w:hyperlink r:id="rId10">
        <w:r>
          <w:rPr>
            <w:color w:val="0000EE"/>
            <w:u w:val="single"/>
          </w:rPr>
          <w:t>https://www.glsen.org/educate/resources/creating-lgbt-inclusive-lessons</w:t>
        </w:r>
      </w:hyperlink>
      <w:r>
        <w:t xml:space="preserve"> - GLSEN advocates for the adoption of policies that encourage positive school transformation where all students, including those who are LGBTQ+, transgender, nonbinary, people of colour, and people with disabilities, can thrive and reach their full potential. Access to inclusive curriculum is one of the Four Core Supports identified by GLSEN’s research that improves school climates for LGBTQ+ youth, along with comprehensive nondiscrimination and anti-bullying policies, supportive educators, and access to GSAs (Gender and Sexuality Alliances or Gay Straight Alliances). Therefore, in alignment with our mission and our research findings, GLSEN supports inclusive curricular standards that require affirming representation of the contributions and lived experiences of LGBTQ+ people, people who are Black, Indigenous, and people of colour (BIPOC), people with disabilities, and all marginalised communities. GLSEN’s support extends to both state legislation and administrative policy that establishes inclusive curricular standards. Inclusive curricular standards support the creation of inclusive curriculum at the local level, thereby promoting LGBTQ+ student well-being. LGBTQ+ students who see their full identities reflected in the classroom have stronger educational attainment and better mental health.</w:t>
      </w:r>
      <w:r/>
    </w:p>
    <w:p>
      <w:pPr>
        <w:pStyle w:val="ListNumber"/>
        <w:spacing w:line="240" w:lineRule="auto"/>
        <w:ind w:left="720"/>
      </w:pPr>
      <w:r/>
      <w:hyperlink r:id="rId15">
        <w:r>
          <w:rPr>
            <w:color w:val="0000EE"/>
            <w:u w:val="single"/>
          </w:rPr>
          <w:t>https://link.springer.com/article/10.1007/s44217-024-00391-5</w:t>
        </w:r>
      </w:hyperlink>
      <w:r>
        <w:t xml:space="preserve"> - This study evaluated a medical student-developed and -led workshop focused on inclusive healthcare, including aspects of sexual health and well-being care. The project utilised a peer-to-peer and community-engaged approach to ensure inclusiveness and effectiveness in improving learner knowledge, confidence, and motivation to engage in evidence-based, patient-centred care. Over two years, the health professions student LGBTQIA+ interest group, Spectrum, hosted two voluntary workshops to support medical students’ sexual health history-taking skills. Workshops included a 10-minute discussion highlighting best practices, 45 minutes of small group practice with standardized patient-facilitator dyads, and a 10-minute reflection. Project evaluation incorporated quantitative and qualitative feedback from participants and facilitators. Quantitative feedback reflected consistently positive ratings, with learners reporting increased comfort, satisfaction, perceived applicability, and confidence. Qualitative feedback highlighted the benefits of including representative patients, practicing inclusive language, and receiving real-time feedback. Peer-led facilitation contributed to a supportive learning environment, emphasising the importance of curricular co-production and experiential leadership development. Facilitators described feeling empowered to develop cases reflecting genuine lived experiences and not simplified scenarios. This study emphasises the value of increased medical student engagement in sexual healthcare education and advocates for further integration of LGBTQ+ inclusive curriculum into the medical curriculum.</w:t>
      </w:r>
      <w:r/>
    </w:p>
    <w:p>
      <w:pPr>
        <w:pStyle w:val="ListNumber"/>
        <w:spacing w:line="240" w:lineRule="auto"/>
        <w:ind w:left="720"/>
      </w:pPr>
      <w:r/>
      <w:hyperlink r:id="rId14">
        <w:r>
          <w:rPr>
            <w:color w:val="0000EE"/>
            <w:u w:val="single"/>
          </w:rPr>
          <w:t>https://www.frontiersin.org/articles/10.3389/fpubh.2026.1766440/full</w:t>
        </w:r>
      </w:hyperlink>
      <w:r>
        <w:t xml:space="preserve"> - This study investigates the implementation of gender equality and sex-gender diversity policies in a higher education context, within the G-FORCE Project funded by Erasmus+. Two focus groups (N = 20) were conducted with participants from the academic community, administrative staff, research personnel, and external stakeholders, ensuring diverse generational and gender representation. The study aimed to promote gender equality and sex-gender diversity within universities by examining existing policies and practices, identifying challenges, and proposing strategies for improvement. The findings highlight the importance of inclusive policies and practices in fostering a supportive environment for all students, particularly those from marginalised gender and sexual orientations. The study also emphasises the need for continuous assessment and adaptation of policies to ensure they effectively address the evolving needs of the university community.</w:t>
      </w:r>
      <w:r/>
    </w:p>
    <w:p>
      <w:pPr>
        <w:pStyle w:val="ListNumber"/>
        <w:spacing w:line="240" w:lineRule="auto"/>
        <w:ind w:left="720"/>
      </w:pPr>
      <w:r/>
      <w:hyperlink r:id="rId12">
        <w:r>
          <w:rPr>
            <w:color w:val="0000EE"/>
            <w:u w:val="single"/>
          </w:rPr>
          <w:t>https://www.kff.org/health-policy-101-lgbtq-health-policy/?entry=table-of-contents-gender-affirming-care</w:t>
        </w:r>
      </w:hyperlink>
      <w:r>
        <w:t xml:space="preserve"> - The American Medical Association (AMA) provides recommended standards of practice with LGBTQ patients and resources to help make medical practices LGBTQ-friendly, such as including posters, brochures, and other materials that are LGBTQ-inclusive, revising intake materials to be affirming and inclusive, and participating in further provider education. Similarly, the American Psychiatric Association also provides guidance, including acknowledgment of the role the association played in perpetuating stigma for LGBTQ people in the past and guiding practitioners to not make assumptions about sexual orientation or gender identity in gathering medical information, reminding providers that families can be helped to move towards more acceptance of LGBTQ children to improve their mental health, and explicitly coming out against ‘conversion or reparative’ therapy. Providing health care services or competent referrals for health services that are disproportionately needed by the LGBTQ community is another way to offer inclusive care. This might include behavioral health services, STI care and screening, or inclusive family planning services. Another such service is gender affirming care (see below). Gender affirming care is a model of care which includes a spectrum of “medical, surgical, mental health, and non-medical services for transgender and nonbinary people” aimed at affirming and supporting an individual’s gender identity. Gender affirmation is highly individualized. Not all trans people seek the same types of gender affirming care or services and some people choose not to use medical services as a part of their transition. Gender affirming care is tailored to an individual’s needs across the lifespan. Virtually all major U.S. medical associations support youth access to gender affirming care, including the American Medical Association, American Academy of Pediatrics, and the American Psychological Association, among others.</w:t>
      </w:r>
      <w:r/>
    </w:p>
    <w:p>
      <w:pPr>
        <w:pStyle w:val="ListNumber"/>
        <w:spacing w:line="240" w:lineRule="auto"/>
        <w:ind w:left="720"/>
      </w:pPr>
      <w:r/>
      <w:hyperlink r:id="rId13">
        <w:r>
          <w:rPr>
            <w:color w:val="0000EE"/>
            <w:u w:val="single"/>
          </w:rPr>
          <w:t>https://www.bestcolleges.com/resources/lgbtq-student-healthcare-guide/</w:t>
        </w:r>
      </w:hyperlink>
      <w:r>
        <w:t xml:space="preserve"> - Healthcare access can be a challenge for LGBTQ+ college students. This guide provides tips for finding affirming care and overcoming treatment barriers. The importance of LGBTQ+ inclusive healthcare cannot be overstated, especially for college students who are away from home and may be taking care of their own healthcare needs for the first time. This may also be the first time they are not around family who may disapprove of their identity, making it an ideal time for them to receive accurate information and care. In recent history, LGBTQ+ communities have encountered significant challenges when attempting to access healthcare services. In her book “The Care We Dream of: Liberatory and Transformative Approaches to LGBTQ+ Health,” Zena Sharman poses the question of what it would be like if LGBTQ+ individuals actually enjoyed going to the doctor. The significant challenges that LGBTQ+ communities have faced when trying to receive quality and inclusive care creates the need to ask this question. LGBTQ+ college students may have better opportunities to receive the healthcare they need in a safe and inclusive environment by accessing services their school provides. Colleges need to create a welcoming environment that includes knowledgeable and compassionate healthcare providers who can address this population’s unique health needs.</w:t>
      </w:r>
      <w:r/>
    </w:p>
    <w:p>
      <w:pPr>
        <w:pStyle w:val="ListNumber"/>
        <w:spacing w:line="240" w:lineRule="auto"/>
        <w:ind w:left="720"/>
      </w:pPr>
      <w:r/>
      <w:hyperlink r:id="rId11">
        <w:r>
          <w:rPr>
            <w:color w:val="0000EE"/>
            <w:u w:val="single"/>
          </w:rPr>
          <w:t>https://www.glsen.org/activity/inclusive-curriculum-guide</w:t>
        </w:r>
      </w:hyperlink>
      <w:r>
        <w:t xml:space="preserve"> - GLSEN provides guidance on introducing LGBTQ-inclusive curriculum in schools, recommending that such initiatives be led by administrators and communicated through professional development for educators and to families. They suggest addressing any misconceptions or apprehensions about this inclusion by frontloading with the school's responsibility to provide a safe and supportive learning environment for all students, along with a commitment to diversity, equity, and inclusion. GLSEN also provides talking points to support this advocacy, including the benefits of LGBTQ-inclusive curriculum for all students, the importance of teaching respect for diverse identities, and the positive impact on students' ability to empathize, connect, and collaborate with a diverse group of peers. They emphasize that all students deserve to see themselves in their curriculum, including students who identify as LGBTQ and come from LGBTQ-headed families, and that teaching LGBTQ-inclusive curriculum acknowledges the reality that many students come from LGBTQ-headed families, are being taught by LGBTQ-educators, and are increasingly identifying as LGBTQ themselves even in elementary school. GLSEN also notes that LGBTQ students with inclusive curriculum have better academic and mental health outcomes and are less likely to miss school.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buyhousesmemphistn.com/celebrating-campus-pride-your-guide-to-a-welcoming-2/" TargetMode="External"/><Relationship Id="rId10" Type="http://schemas.openxmlformats.org/officeDocument/2006/relationships/hyperlink" Target="https://www.glsen.org/educate/resources/creating-lgbt-inclusive-lessons" TargetMode="External"/><Relationship Id="rId11" Type="http://schemas.openxmlformats.org/officeDocument/2006/relationships/hyperlink" Target="https://www.glsen.org/activity/inclusive-curriculum-guide" TargetMode="External"/><Relationship Id="rId12" Type="http://schemas.openxmlformats.org/officeDocument/2006/relationships/hyperlink" Target="https://www.kff.org/health-policy-101-lgbtq-health-policy/?entry=table-of-contents-gender-affirming-care" TargetMode="External"/><Relationship Id="rId13" Type="http://schemas.openxmlformats.org/officeDocument/2006/relationships/hyperlink" Target="https://www.bestcolleges.com/resources/lgbtq-student-healthcare-guide/" TargetMode="External"/><Relationship Id="rId14" Type="http://schemas.openxmlformats.org/officeDocument/2006/relationships/hyperlink" Target="https://www.frontiersin.org/articles/10.3389/fpubh.2026.1766440/full" TargetMode="External"/><Relationship Id="rId15" Type="http://schemas.openxmlformats.org/officeDocument/2006/relationships/hyperlink" Target="https://link.springer.com/article/10.1007/s44217-024-0039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