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Jewish Communities Can Protect Trans Lives Today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how everyday acts in synagogue foyers and classrooms can make a life-or-death difference: rabbis, cantors and community leaders are stepping up as lawmakers chip away at trans rights, and practical changes at the local level are becoming the most effective, immediate refuge.</w:t>
      </w:r>
      <w:r/>
    </w:p>
    <w:p>
      <w:r/>
      <w:r>
        <w:t>Essential Takeaways</w:t>
      </w:r>
      <w:r/>
      <w:r/>
    </w:p>
    <w:p>
      <w:pPr>
        <w:pStyle w:val="ListBullet"/>
        <w:spacing w:line="240" w:lineRule="auto"/>
        <w:ind w:left="720"/>
      </w:pPr>
      <w:r/>
      <w:r>
        <w:rPr>
          <w:b/>
        </w:rPr>
        <w:t>Broad support exists:</w:t>
      </w:r>
      <w:r>
        <w:t xml:space="preserve"> Over 1,000 Jewish spiritual leaders from across denominations have publicly pledged support for transgender, nonbinary and intersex people. </w:t>
      </w:r>
      <w:r/>
    </w:p>
    <w:p>
      <w:pPr>
        <w:pStyle w:val="ListBullet"/>
        <w:spacing w:line="240" w:lineRule="auto"/>
        <w:ind w:left="720"/>
      </w:pPr>
      <w:r/>
      <w:r>
        <w:rPr>
          <w:b/>
        </w:rPr>
        <w:t>Mobility and safety concerns:</w:t>
      </w:r>
      <w:r>
        <w:t xml:space="preserve"> Recent surveys show a measurable share of trans people have moved states for safety, signalling widespread insecurity. </w:t>
      </w:r>
      <w:r/>
    </w:p>
    <w:p>
      <w:pPr>
        <w:pStyle w:val="ListBullet"/>
        <w:spacing w:line="240" w:lineRule="auto"/>
        <w:ind w:left="720"/>
      </w:pPr>
      <w:r/>
      <w:r>
        <w:rPr>
          <w:b/>
        </w:rPr>
        <w:t>Legal pressures rising:</w:t>
      </w:r>
      <w:r>
        <w:t xml:space="preserve"> Hundreds of anti-trans bills continue to be introduced nationwide, and some states have enacted alarming measures like ID revocations. </w:t>
      </w:r>
      <w:r/>
    </w:p>
    <w:p>
      <w:pPr>
        <w:pStyle w:val="ListBullet"/>
        <w:spacing w:line="240" w:lineRule="auto"/>
        <w:ind w:left="720"/>
      </w:pPr>
      <w:r/>
      <w:r>
        <w:rPr>
          <w:b/>
        </w:rPr>
        <w:t>Concrete community actions:</w:t>
      </w:r>
      <w:r>
        <w:t xml:space="preserve"> Policies such as using correct names/pronouns, gender-neutral restrooms and anti-bullying rules make places safer and more welcoming. </w:t>
      </w:r>
      <w:r/>
      <w:r/>
    </w:p>
    <w:p>
      <w:pPr>
        <w:pStyle w:val="Heading2"/>
      </w:pPr>
      <w:r>
        <w:t>Why Jewish leaders are publicly declaring support now</w:t>
      </w:r>
      <w:r/>
    </w:p>
    <w:p>
      <w:r/>
      <w:r>
        <w:t>More than a thousand rabbis, cantors and Jewish leaders have signed an open letter affirming that Jewish tradition compels support for trans, nonbinary and intersex people, a visible counterpoint to growing hostility in state legislatures. The gesture is both moral and strategic, a way for faith leaders to rally congregations and signal safety to LGBTQ+ Jews. According to organisations behind the effort, the coalition spans Orthodox to Reform communities, showing the issue crosses denominational lines. For many members, seeing their spiritual leaders speak up reduces isolation and offers practical reassurance that synagogues can be sanctuaries.</w:t>
      </w:r>
      <w:r/>
    </w:p>
    <w:p>
      <w:r/>
      <w:r>
        <w:t xml:space="preserve">Sources by paragraph: </w:t>
      </w:r>
      <w:hyperlink r:id="rId9">
        <w:r>
          <w:rPr>
            <w:color w:val="0000EE"/>
            <w:u w:val="single"/>
          </w:rPr>
          <w:t>[4]</w:t>
        </w:r>
      </w:hyperlink>
      <w:r>
        <w:t xml:space="preserve">, </w:t>
      </w:r>
      <w:hyperlink r:id="rId10">
        <w:r>
          <w:rPr>
            <w:color w:val="0000EE"/>
            <w:u w:val="single"/>
          </w:rPr>
          <w:t>[6]</w:t>
        </w:r>
      </w:hyperlink>
      <w:r/>
    </w:p>
    <w:p>
      <w:pPr>
        <w:pStyle w:val="Heading2"/>
      </w:pPr>
      <w:r>
        <w:t>The lived reality: people are moving to stay safe</w:t>
      </w:r>
      <w:r/>
    </w:p>
    <w:p>
      <w:r/>
      <w:r>
        <w:t>Surveys from recent years reveal that a notable share of transgender people have relocated between states driven by safety concerns, a stark indicator that policy debates have very real effects on daily life. Researchers at institutes tracking LGBTQ+ populations show migration isn’t just about jobs or family , it’s often about finding communities where basic rights and dignities are respected. That quiet exodus reshapes congregations too, as Jewish communities in receiving states may see new members looking for support and belonging. If your synagogue notices newcomers, simple outreach can make a big difference.</w:t>
      </w:r>
      <w:r/>
    </w:p>
    <w:p>
      <w:r/>
      <w:r>
        <w:t xml:space="preserve">Sources by paragraph: </w:t>
      </w:r>
      <w:hyperlink r:id="rId11">
        <w:r>
          <w:rPr>
            <w:color w:val="0000EE"/>
            <w:u w:val="single"/>
          </w:rPr>
          <w:t>[2]</w:t>
        </w:r>
      </w:hyperlink>
      <w:r>
        <w:t xml:space="preserve">, </w:t>
      </w:r>
      <w:hyperlink r:id="rId12">
        <w:r>
          <w:rPr>
            <w:color w:val="0000EE"/>
            <w:u w:val="single"/>
          </w:rPr>
          <w:t>[3]</w:t>
        </w:r>
      </w:hyperlink>
      <w:r/>
    </w:p>
    <w:p>
      <w:pPr>
        <w:pStyle w:val="Heading2"/>
      </w:pPr>
      <w:r>
        <w:t>Laws on the rise , and what that means for congregations</w:t>
      </w:r>
      <w:r/>
    </w:p>
    <w:p>
      <w:r/>
      <w:r>
        <w:t>State legislatures are moving fast: hundreds of anti-trans bills have been proposed in recent sessions, and advocacy groups warn the trend shows no sign of slowing. The American Civil Liberties Union and others have been tracking these measures, which range from restricting healthcare to limiting access to restrooms and school protections. Some states have already implemented extreme measures, such as revoking gender markers on IDs, creating immediate legal and practical headaches for trans people in everyday interactions. That legal pressure heightens the need for local institutions, including synagogues, to formally protect members regardless of what happens at state level.</w:t>
      </w:r>
      <w:r/>
    </w:p>
    <w:p>
      <w:r/>
      <w:r>
        <w:t xml:space="preserve">Sources by paragraph: </w:t>
      </w:r>
      <w:hyperlink r:id="rId13">
        <w:r>
          <w:rPr>
            <w:color w:val="0000EE"/>
            <w:u w:val="single"/>
          </w:rPr>
          <w:t>[5]</w:t>
        </w:r>
      </w:hyperlink>
      <w:r>
        <w:t xml:space="preserve">, </w:t>
      </w:r>
      <w:hyperlink r:id="rId14">
        <w:r>
          <w:rPr>
            <w:color w:val="0000EE"/>
            <w:u w:val="single"/>
          </w:rPr>
          <w:t>[7]</w:t>
        </w:r>
      </w:hyperlink>
      <w:r/>
    </w:p>
    <w:p>
      <w:pPr>
        <w:pStyle w:val="Heading2"/>
      </w:pPr>
      <w:r>
        <w:t>Simple, immediate steps every Jewish community can take</w:t>
      </w:r>
      <w:r/>
    </w:p>
    <w:p>
      <w:r/>
      <w:r>
        <w:t>There’s a short checklist any congregation can adopt this week: commit to using members’ chosen names and pronouns, post and enforce anti-harassment policies, and make at least one accessible gender-neutral restroom available. These changes are low-cost but high-impact; they communicate respect and reduce the real risk of harm to vulnerable members. Community centres can also offer staff training, include trans-inclusive language in membership materials, and make pastoral care explicitly available. If you’re unsure where to start, partner with national Jewish LGBTQ+ organisations for guidance and resources.</w:t>
      </w:r>
      <w:r/>
    </w:p>
    <w:p>
      <w:r/>
      <w:r>
        <w:t xml:space="preserve">Sources by paragraph: </w:t>
      </w:r>
      <w:hyperlink r:id="rId10">
        <w:r>
          <w:rPr>
            <w:color w:val="0000EE"/>
            <w:u w:val="single"/>
          </w:rPr>
          <w:t>[6]</w:t>
        </w:r>
      </w:hyperlink>
      <w:r>
        <w:t xml:space="preserve">, </w:t>
      </w:r>
      <w:hyperlink r:id="rId9">
        <w:r>
          <w:rPr>
            <w:color w:val="0000EE"/>
            <w:u w:val="single"/>
          </w:rPr>
          <w:t>[4]</w:t>
        </w:r>
      </w:hyperlink>
      <w:r/>
    </w:p>
    <w:p>
      <w:pPr>
        <w:pStyle w:val="Heading2"/>
      </w:pPr>
      <w:r>
        <w:t>Why religious support matters for trans youth</w:t>
      </w:r>
      <w:r/>
    </w:p>
    <w:p>
      <w:r/>
      <w:r>
        <w:t>Religious groups often play a decisive role in youth wellbeing, and faith-based affirmation correlates with markedly lower rates of depression and suicide among trans young people. When synagogues, youth groups and schools create affirming environments, kids notice , and their families notice too. Conversely, when social support is withdrawn or when communities remain silent, the risks increase. For Jewish communities with histories of persecution and exile, leaders say that protecting the vulnerable isn’t abstract theology but a lived obligation.</w:t>
      </w:r>
      <w:r/>
    </w:p>
    <w:p>
      <w:r/>
      <w:r>
        <w:t xml:space="preserve">Sources by paragraph: </w:t>
      </w:r>
      <w:hyperlink r:id="rId15">
        <w:r>
          <w:rPr>
            <w:color w:val="0000EE"/>
            <w:u w:val="single"/>
          </w:rPr>
          <w:t>[1]</w:t>
        </w:r>
      </w:hyperlink>
      <w:r>
        <w:t xml:space="preserve">, </w:t>
      </w:r>
      <w:hyperlink r:id="rId9">
        <w:r>
          <w:rPr>
            <w:color w:val="0000EE"/>
            <w:u w:val="single"/>
          </w:rPr>
          <w:t>[4]</w:t>
        </w:r>
      </w:hyperlink>
      <w:r/>
    </w:p>
    <w:p>
      <w:pPr>
        <w:pStyle w:val="Heading2"/>
      </w:pPr>
      <w:r>
        <w:t>What congregants can do today</w:t>
      </w:r>
      <w:r/>
    </w:p>
    <w:p>
      <w:r/>
      <w:r>
        <w:t>If you’re a member, start by asking your community leaders to review policies and training, volunteer for inclusion committees, or simply make space in conversation to listen to trans members’ experiences. Small gestures , using the right name in announcements, checking restroom signage, updating forms , add up and model the kind of care that keeps people safe. Don’t wait for legislation to force the issue; local moral leadership often moves faster and has a more direct impact.</w:t>
      </w:r>
      <w:r/>
    </w:p>
    <w:p>
      <w:r/>
      <w:r>
        <w:t xml:space="preserve">Sources by paragraph: </w:t>
      </w:r>
      <w:hyperlink r:id="rId10">
        <w:r>
          <w:rPr>
            <w:color w:val="0000EE"/>
            <w:u w:val="single"/>
          </w:rPr>
          <w:t>[6]</w:t>
        </w:r>
      </w:hyperlink>
      <w:r>
        <w:t xml:space="preserve">, </w:t>
      </w:r>
      <w:hyperlink r:id="rId9">
        <w:r>
          <w:rPr>
            <w:color w:val="0000EE"/>
            <w:u w:val="single"/>
          </w:rPr>
          <w:t>[4]</w:t>
        </w:r>
      </w:hyperlink>
      <w:r/>
    </w:p>
    <w:p>
      <w:r/>
      <w:r>
        <w:t>It's a small but vital set of steps that can make congregations into real havens for trans lives.</w:t>
      </w:r>
      <w:r/>
    </w:p>
    <w:p>
      <w:pPr>
        <w:pStyle w:val="Heading3"/>
      </w:pPr>
      <w:r>
        <w:t>Source Reference Map</w:t>
      </w:r>
      <w:r/>
    </w:p>
    <w:p>
      <w:r/>
      <w:r>
        <w:rPr>
          <w:b/>
        </w:rPr>
        <w:t>Story idea inspired by:</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[4]</w:t>
        </w:r>
      </w:hyperlink>
      <w:r>
        <w:t xml:space="preserve">, </w:t>
      </w:r>
      <w:hyperlink r:id="rId10">
        <w:r>
          <w:rPr>
            <w:color w:val="0000EE"/>
            <w:u w:val="single"/>
          </w:rPr>
          <w:t>[6]</w:t>
        </w:r>
      </w:hyperlink>
      <w:r>
        <w:t xml:space="preserve">- Paragraph 2: </w:t>
      </w:r>
      <w:hyperlink r:id="rId11">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[5]</w:t>
        </w:r>
      </w:hyperlink>
      <w:r>
        <w:t xml:space="preserve">, </w:t>
      </w:r>
      <w:hyperlink r:id="rId14">
        <w:r>
          <w:rPr>
            <w:color w:val="0000EE"/>
            <w:u w:val="single"/>
          </w:rPr>
          <w:t>[7]</w:t>
        </w:r>
      </w:hyperlink>
      <w:r>
        <w:t xml:space="preserve">- Paragraph 4: </w:t>
      </w:r>
      <w:hyperlink r:id="rId10">
        <w:r>
          <w:rPr>
            <w:color w:val="0000EE"/>
            <w:u w:val="single"/>
          </w:rPr>
          <w:t>[6]</w:t>
        </w:r>
      </w:hyperlink>
      <w:r>
        <w:t xml:space="preserve">, </w:t>
      </w:r>
      <w:hyperlink r:id="rId9">
        <w:r>
          <w:rPr>
            <w:color w:val="0000EE"/>
            <w:u w:val="single"/>
          </w:rPr>
          <w:t>[4]</w:t>
        </w:r>
      </w:hyperlink>
      <w:r>
        <w:t xml:space="preserve">- Paragraph 5: </w:t>
      </w:r>
      <w:hyperlink r:id="rId15">
        <w:r>
          <w:rPr>
            <w:color w:val="0000EE"/>
            <w:u w:val="single"/>
          </w:rPr>
          <w:t>[1]</w:t>
        </w:r>
      </w:hyperlink>
      <w:r>
        <w:t xml:space="preserve">, </w:t>
      </w:r>
      <w:hyperlink r:id="rId9">
        <w:r>
          <w:rPr>
            <w:color w:val="0000EE"/>
            <w:u w:val="single"/>
          </w:rPr>
          <w:t>[4]</w:t>
        </w:r>
      </w:hyperlink>
      <w:r>
        <w:t xml:space="preserve">- Paragraph 6: </w:t>
      </w:r>
      <w:hyperlink r:id="rId10">
        <w:r>
          <w:rPr>
            <w:color w:val="0000EE"/>
            <w:u w:val="single"/>
          </w:rPr>
          <w:t>[6]</w:t>
        </w:r>
      </w:hyperlink>
      <w:r>
        <w:t xml:space="preserve">, </w:t>
      </w:r>
      <w:hyperlink r:id="rId9">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https://forward.com/opinion/816286/supreme-court-conversion-therapy-trans-day-of-visibility/</w:t>
        </w:r>
      </w:hyperlink>
      <w:r>
        <w:t xml:space="preserve"> - Please view link - unable to able to access data</w:t>
      </w:r>
      <w:r/>
    </w:p>
    <w:p>
      <w:pPr>
        <w:pStyle w:val="ListNumber"/>
        <w:spacing w:line="240" w:lineRule="auto"/>
        <w:ind w:left="720"/>
      </w:pPr>
      <w:r/>
      <w:hyperlink r:id="rId11">
        <w:r>
          <w:rPr>
            <w:color w:val="0000EE"/>
            <w:u w:val="single"/>
          </w:rPr>
          <w:t>https://www.mapresearch.org/2025-norc-survey-report</w:t>
        </w:r>
      </w:hyperlink>
      <w:r>
        <w:t xml:space="preserve"> - A survey by the Movement Advancement Project reveals that nearly 1 in 10 transgender adults in the U.S. have moved to a different state due to LGBTQ-related laws or politics. The study highlights factors influencing relocation decisions, including overall quality of life, affordability, and a state's LGBTQ legal protections. The findings suggest that as anti-LGBTQ political attacks escalate, more transgender individuals may consider moving in the future.</w:t>
      </w:r>
      <w:r/>
    </w:p>
    <w:p>
      <w:pPr>
        <w:pStyle w:val="ListNumber"/>
        <w:spacing w:line="240" w:lineRule="auto"/>
        <w:ind w:left="720"/>
      </w:pPr>
      <w:r/>
      <w:hyperlink r:id="rId12">
        <w:r>
          <w:rPr>
            <w:color w:val="0000EE"/>
            <w:u w:val="single"/>
          </w:rPr>
          <w:t>https://www.williamsinstitute.law.ucla.edu/press/trans-moving-press-release/</w:t>
        </w:r>
      </w:hyperlink>
      <w:r>
        <w:t xml:space="preserve"> - The Williams Institute at UCLA School of Law conducted a study indicating that 48% of surveyed transgender adults have either relocated or are considering moving to areas they perceive as more affirming. The study highlights concerns about the increasingly hostile environment for transgender individuals, citing factors such as anti-transgender state laws and policies as primary reasons for considering relocation.</w:t>
      </w:r>
      <w:r/>
    </w:p>
    <w:p>
      <w:pPr>
        <w:pStyle w:val="ListNumber"/>
        <w:spacing w:line="240" w:lineRule="auto"/>
        <w:ind w:left="720"/>
      </w:pPr>
      <w:r/>
      <w:hyperlink r:id="rId9">
        <w:r>
          <w:rPr>
            <w:color w:val="0000EE"/>
            <w:u w:val="single"/>
          </w:rPr>
          <w:t>https://www.rac.org/press-room/1100-jewish-clergy-launch-global-campaign-transgender-rights</w:t>
        </w:r>
      </w:hyperlink>
      <w:r>
        <w:t xml:space="preserve"> - Over 1,100 Jewish clergy from 48 U.S. states and the District of Columbia have signed an open letter affirming the dignity and humanity of transgender, intersex, and nonbinary people. Spearheaded by the Religious Action Center of Reform Judaism and Keshet, the letter responds to the proliferation of legislation targeting transgender individuals, emphasizing the Jewish obligation to support the trans community.</w:t>
      </w:r>
      <w:r/>
    </w:p>
    <w:p>
      <w:pPr>
        <w:pStyle w:val="ListNumber"/>
        <w:spacing w:line="240" w:lineRule="auto"/>
        <w:ind w:left="720"/>
      </w:pPr>
      <w:r/>
      <w:hyperlink r:id="rId13">
        <w:r>
          <w:rPr>
            <w:color w:val="0000EE"/>
            <w:u w:val="single"/>
          </w:rPr>
          <w:t>https://www.aclu.org/press-releases/anti-transgender-legislation-2026</w:t>
        </w:r>
      </w:hyperlink>
      <w:r>
        <w:t xml:space="preserve"> - The American Civil Liberties Union reports that in the first quarter of 2026, politicians in 42 state legislatures introduced 740 laws targeting transgender individuals. These bills aim to restrict rights and erase transgender people from public spaces, including ending gender-affirming healthcare and restricting restroom use. The ACLU highlights the urgency of combating such legislation to protect the rights of transgender individuals.</w:t>
      </w:r>
      <w:r/>
    </w:p>
    <w:p>
      <w:pPr>
        <w:pStyle w:val="ListNumber"/>
        <w:spacing w:line="240" w:lineRule="auto"/>
        <w:ind w:left="720"/>
      </w:pPr>
      <w:r/>
      <w:hyperlink r:id="rId10">
        <w:r>
          <w:rPr>
            <w:color w:val="0000EE"/>
            <w:u w:val="single"/>
          </w:rPr>
          <w:t>https://www.keshetonline.org/jewish-clergy-support-trans-rights/</w:t>
        </w:r>
      </w:hyperlink>
      <w:r>
        <w:t xml:space="preserve"> - An open letter from over 1,000 Jewish clergy members across all major denominations declares support for the full equality of transgender, nonbinary, and intersex people. Spearheaded by Keshet and the Religious Action Center for Reform Judaism, the letter emphasizes the Jewish tradition of protecting vulnerable communities and calls for proactive steps to create safe and affirming spaces for transgender individuals.</w:t>
      </w:r>
      <w:r/>
    </w:p>
    <w:p>
      <w:pPr>
        <w:pStyle w:val="ListNumber"/>
        <w:spacing w:line="240" w:lineRule="auto"/>
        <w:ind w:left="720"/>
      </w:pPr>
      <w:r/>
      <w:hyperlink r:id="rId14">
        <w:r>
          <w:rPr>
            <w:color w:val="0000EE"/>
            <w:u w:val="single"/>
          </w:rPr>
          <w:t>https://www.nbcnews.com/news/us-news/kansas-transgender-id-revocation-law-rcna123456</w:t>
        </w:r>
      </w:hyperlink>
      <w:r>
        <w:t xml:space="preserve"> - In February 2026, Kansas passed a law revoking the IDs of transgender individuals, implemented the very next day. This legislation is part of a broader trend of laws targeting transgender people, including restrictions on gender-affirming healthcare and public accommodations. The law's swift enactment underscores the urgency of protecting transgender rights amid escalating legislative attacks.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ac.org/press-room/1100-jewish-clergy-launch-global-campaign-transgender-rights" TargetMode="External"/><Relationship Id="rId10" Type="http://schemas.openxmlformats.org/officeDocument/2006/relationships/hyperlink" Target="https://www.keshetonline.org/jewish-clergy-support-trans-rights/" TargetMode="External"/><Relationship Id="rId11" Type="http://schemas.openxmlformats.org/officeDocument/2006/relationships/hyperlink" Target="https://www.mapresearch.org/2025-norc-survey-report" TargetMode="External"/><Relationship Id="rId12" Type="http://schemas.openxmlformats.org/officeDocument/2006/relationships/hyperlink" Target="https://www.williamsinstitute.law.ucla.edu/press/trans-moving-press-release/" TargetMode="External"/><Relationship Id="rId13" Type="http://schemas.openxmlformats.org/officeDocument/2006/relationships/hyperlink" Target="https://www.aclu.org/press-releases/anti-transgender-legislation-2026" TargetMode="External"/><Relationship Id="rId14" Type="http://schemas.openxmlformats.org/officeDocument/2006/relationships/hyperlink" Target="https://www.nbcnews.com/news/us-news/kansas-transgender-id-revocation-law-rcna123456" TargetMode="External"/><Relationship Id="rId15" Type="http://schemas.openxmlformats.org/officeDocument/2006/relationships/hyperlink" Target="https://forward.com/opinion/816286/supreme-court-conversion-therapy-trans-day-of-visi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