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Remember March 29 in Queer History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Remember that dates can be quiet powerhouses: March 29 brings together courtroom battles, street protests, TV breakthroughs and local club nights, and remembering these layers helps us see how legal wins and cultural visibility actually get made , by organisers, artists and everyday people pushing through the grind.</w:t>
      </w:r>
      <w:r/>
    </w:p>
    <w:p>
      <w:r/>
      <w:r>
        <w:t>Essential Takeaways</w:t>
      </w:r>
      <w:r/>
      <w:r/>
    </w:p>
    <w:p>
      <w:pPr>
        <w:pStyle w:val="ListBullet"/>
        <w:spacing w:line="240" w:lineRule="auto"/>
        <w:ind w:left="720"/>
      </w:pPr>
      <w:r/>
      <w:r>
        <w:rPr>
          <w:b/>
        </w:rPr>
        <w:t>Legal momentum:</w:t>
      </w:r>
      <w:r>
        <w:t xml:space="preserve"> March 29 sits amid key national actions around United States v. Windsor and related cases, when rallies and advocacy kept pressure on the courts. </w:t>
      </w:r>
      <w:r/>
    </w:p>
    <w:p>
      <w:pPr>
        <w:pStyle w:val="ListBullet"/>
        <w:spacing w:line="240" w:lineRule="auto"/>
        <w:ind w:left="720"/>
      </w:pPr>
      <w:r/>
      <w:r>
        <w:rPr>
          <w:b/>
        </w:rPr>
        <w:t>Global organising:</w:t>
      </w:r>
      <w:r>
        <w:t xml:space="preserve"> Activists in South Asia used late March to advance gender-identity rights and public conversation, planting seeds for later legal change. </w:t>
      </w:r>
      <w:r/>
    </w:p>
    <w:p>
      <w:pPr>
        <w:pStyle w:val="ListBullet"/>
        <w:spacing w:line="240" w:lineRule="auto"/>
        <w:ind w:left="720"/>
      </w:pPr>
      <w:r/>
      <w:r>
        <w:rPr>
          <w:b/>
        </w:rPr>
        <w:t>Cultural shift:</w:t>
      </w:r>
      <w:r>
        <w:t xml:space="preserve"> The build-up to landmark queer shows, like Pose, shows how representation cycles from festival buzz to mainstream impact. </w:t>
      </w:r>
      <w:r/>
    </w:p>
    <w:p>
      <w:pPr>
        <w:pStyle w:val="ListBullet"/>
        <w:spacing w:line="240" w:lineRule="auto"/>
        <w:ind w:left="720"/>
      </w:pPr>
      <w:r/>
      <w:r>
        <w:rPr>
          <w:b/>
        </w:rPr>
        <w:t>Grassroots life:</w:t>
      </w:r>
      <w:r>
        <w:t xml:space="preserve"> Drag nights, fundraisers and community meet-ups on this date show how queer culture is sustained daily, not just at headline moments.</w:t>
      </w:r>
      <w:r/>
      <w:r/>
    </w:p>
    <w:p>
      <w:pPr>
        <w:pStyle w:val="Heading2"/>
      </w:pPr>
      <w:r>
        <w:t>Why late-March protests mattered for Windsor and marriage equality</w:t>
      </w:r>
      <w:r/>
    </w:p>
    <w:p>
      <w:r/>
      <w:r>
        <w:t>On and around March 29, 2013, LGBTQ groups across US cities stepped up visible campaigning while landmark cases were before the Supreme Court, and you could feel the mix of nerves and determination. According to legal analyses, United States v. Windsor became a touchstone for federal recognition of same-sex marriages, and activists treated every public demonstration as part of the legal argument. The rallies kept stories of real couples in the public eye, which matters because legal opinions don’t float free of social context. If you’re thinking about how legal change happens, note this: courtroom wins are often unlocked by sustained public pressure and storytelling that humanises abstract law.</w:t>
      </w:r>
      <w:r/>
    </w:p>
    <w:p>
      <w:pPr>
        <w:pStyle w:val="Heading2"/>
      </w:pPr>
      <w:r>
        <w:t>How regional organising in India and Nepal built toward recognition</w:t>
      </w:r>
      <w:r/>
    </w:p>
    <w:p>
      <w:r/>
      <w:r>
        <w:t>Across South Asia, late-March gatherings and discussions have historically given activists a chance to test arguments and build alliances, even under difficult political climates. Campaigns around gender identity in India and Nepal during this period helped normalise conversations that later supported moves toward third-gender recognition and, in India’s case, the eventual decriminalisation of same-sex relations. Those early public forums were less about instant victory and more about laying groundwork , training spokespeople, shifting public opinion, and preparing legal strategies. If you want to support similar campaigns today, backing local grassroots organisers and community-led education is where it counts.</w:t>
      </w:r>
      <w:r/>
    </w:p>
    <w:p>
      <w:pPr>
        <w:pStyle w:val="Heading2"/>
      </w:pPr>
      <w:r>
        <w:t>From festival premieres to primetime: how dates help queer culture catch fire</w:t>
      </w:r>
      <w:r/>
    </w:p>
    <w:p>
      <w:r/>
      <w:r>
        <w:t>Film festivals and seasonal programming cycles mean late-March screenings often ripple out across the year. Short-run events like BFI Flare can turn a modest premiere into wider distribution and press attention, which then feeds TV and streaming commissions. The excitement around shows such as Pose illustrates that cultural breakthroughs need festival momentum, critical coverage and committed creators to translate niche stories for mainstream audiences. So when you see a festival calendar, think of it as the starting gun for storytelling that might change whose lives get centred on screen.</w:t>
      </w:r>
      <w:r/>
    </w:p>
    <w:p>
      <w:pPr>
        <w:pStyle w:val="Heading2"/>
      </w:pPr>
      <w:r>
        <w:t>What happens in clubs, community halls and drag rooms on March 29</w:t>
      </w:r>
      <w:r/>
    </w:p>
    <w:p>
      <w:r/>
      <w:r>
        <w:t>The dates that don’t make front pages , drag nights, community fundraisers, open mics , are the daily labour of queer life, and late March has its fair share. These gatherings are where new performers practise, where campaigns recruit volunteers, and where people find care outside the family that might have rejected them. Those micro-scenes matter because they build trust, test ideas and keep people connected between big public actions. If you want to honour queer history, turning up locally , even for a small fundraising night or a panel discussion , is a very practical way to do it.</w:t>
      </w:r>
      <w:r/>
    </w:p>
    <w:p>
      <w:pPr>
        <w:pStyle w:val="Heading2"/>
      </w:pPr>
      <w:r>
        <w:t>What this means going forward: why layered history matters</w:t>
      </w:r>
      <w:r/>
    </w:p>
    <w:p>
      <w:r/>
      <w:r>
        <w:t>March 29 is a reminder that history is cumulative: legal briefs, street-level organising, cultural work and everyday gatherings add up. Looking back at singular rulings or premieres without the context of the months and years that surround them flattens the story. To understand progress, watch the seams: who organised the rallies, who programmed the festivals, who ran the fundraisers. Those seams tell you where to support the next wave of change.</w:t>
      </w:r>
      <w:r/>
    </w:p>
    <w:p>
      <w:r/>
      <w:r>
        <w:t>It's a small shift in perspective, but noticing the everyday alongside the headline moments changes how we remember and how we act.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2">
        <w:r>
          <w:rPr>
            <w:color w:val="0000EE"/>
            <w:u w:val="single"/>
          </w:rPr>
          <w:t>[6]</w:t>
        </w:r>
      </w:hyperlink>
      <w:r>
        <w:t xml:space="preserve">- Paragraph 3: </w:t>
      </w:r>
      <w:hyperlink r:id="rId10">
        <w:r>
          <w:rPr>
            <w:color w:val="0000EE"/>
            <w:u w:val="single"/>
          </w:rPr>
          <w:t>[5]</w:t>
        </w:r>
      </w:hyperlink>
      <w:r>
        <w:t xml:space="preserve">, </w:t>
      </w:r>
      <w:hyperlink r:id="rId11">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https://countryqueer.com/stories/article/on-this-day-in-queerstory-legal-and-artistic-progress/</w:t>
        </w:r>
      </w:hyperlink>
      <w:r>
        <w:t xml:space="preserve"> - Please view link - unable to able to access data</w:t>
      </w:r>
      <w:r/>
    </w:p>
    <w:p>
      <w:pPr>
        <w:pStyle w:val="ListNumber"/>
        <w:spacing w:line="240" w:lineRule="auto"/>
        <w:ind w:left="720"/>
      </w:pPr>
      <w:r/>
      <w:hyperlink r:id="rId10">
        <w:r>
          <w:rPr>
            <w:color w:val="0000EE"/>
            <w:u w:val="single"/>
          </w:rPr>
          <w:t>https://www.law.cornell.edu/wex/united_states_v_windsor_%282013%29</w:t>
        </w:r>
      </w:hyperlink>
      <w:r>
        <w:t xml:space="preserve"> - The United States v. Windsor case was a landmark 2013 Supreme Court decision that declared Section 3 of the Defense of Marriage Act (DOMA) unconstitutional. This section had defined marriage for federal purposes as a legal union between one man and one woman. The Court ruled that DOMA violated the Fifth Amendment's guarantee of equal protection by denying federal recognition to same-sex marriages legally performed in states that permitted them. The case was pivotal in advancing LGBTQ rights in the United States.</w:t>
      </w:r>
      <w:r/>
    </w:p>
    <w:p>
      <w:pPr>
        <w:pStyle w:val="ListNumber"/>
        <w:spacing w:line="240" w:lineRule="auto"/>
        <w:ind w:left="720"/>
      </w:pPr>
      <w:r/>
      <w:hyperlink r:id="rId12">
        <w:r>
          <w:rPr>
            <w:color w:val="0000EE"/>
            <w:u w:val="single"/>
          </w:rPr>
          <w:t>https://www.nyclu.org/resources/policy/one-pagers/fact-sheet-united-states-v-windsor-2013</w:t>
        </w:r>
      </w:hyperlink>
      <w:r>
        <w:t xml:space="preserve"> - The New York Civil Liberties Union (NYCLU) provides a fact sheet on the United States v. Windsor case, highlighting its significance in challenging the constitutionality of the Defense of Marriage Act (DOMA). The case involved Edith Windsor, who was denied a spousal exemption from estate taxes after her same-sex spouse, Thea Spyer, passed away. The NYCLU emphasizes the case's role in advocating for equal protection under the law for same-sex couples.</w:t>
      </w:r>
      <w:r/>
    </w:p>
    <w:p>
      <w:pPr>
        <w:pStyle w:val="ListNumber"/>
        <w:spacing w:line="240" w:lineRule="auto"/>
        <w:ind w:left="720"/>
      </w:pPr>
      <w:r/>
      <w:hyperlink r:id="rId11">
        <w:r>
          <w:rPr>
            <w:color w:val="0000EE"/>
            <w:u w:val="single"/>
          </w:rPr>
          <w:t>https://www.britannica.com/event/United-States-v-Windsor</w:t>
        </w:r>
      </w:hyperlink>
      <w:r>
        <w:t xml:space="preserve"> - Britannica offers an overview of the United States v. Windsor case, detailing how the Supreme Court struck down Section 3 of the Defense of Marriage Act (DOMA) in 2013. The article explains that the Court held DOMA's definition of marriage as a union between one man and one woman violated the Fifth Amendment's equal protection principles. This decision was a significant milestone in the fight for marriage equality in the U.S.</w:t>
      </w:r>
      <w:r/>
    </w:p>
    <w:p>
      <w:pPr>
        <w:pStyle w:val="ListNumber"/>
        <w:spacing w:line="240" w:lineRule="auto"/>
        <w:ind w:left="720"/>
      </w:pPr>
      <w:r/>
      <w:hyperlink r:id="rId10">
        <w:r>
          <w:rPr>
            <w:color w:val="0000EE"/>
            <w:u w:val="single"/>
          </w:rPr>
          <w:t>https://www.law.cornell.edu/wex/united_states_v_windsor_%282013%29</w:t>
        </w:r>
      </w:hyperlink>
      <w:r>
        <w:t xml:space="preserve"> - The United States v. Windsor case was a landmark 2013 Supreme Court decision that declared Section 3 of the Defense of Marriage Act (DOMA) unconstitutional. This section had defined marriage for federal purposes as a legal union between one man and one woman. The Court ruled that DOMA violated the Fifth Amendment's guarantee of equal protection by denying federal recognition to same-sex marriages legally performed in states that permitted them. The case was pivotal in advancing LGBTQ rights in the United States.</w:t>
      </w:r>
      <w:r/>
    </w:p>
    <w:p>
      <w:pPr>
        <w:pStyle w:val="ListNumber"/>
        <w:spacing w:line="240" w:lineRule="auto"/>
        <w:ind w:left="720"/>
      </w:pPr>
      <w:r/>
      <w:hyperlink r:id="rId12">
        <w:r>
          <w:rPr>
            <w:color w:val="0000EE"/>
            <w:u w:val="single"/>
          </w:rPr>
          <w:t>https://www.nyclu.org/resources/policy/one-pagers/fact-sheet-united-states-v-windsor-2013</w:t>
        </w:r>
      </w:hyperlink>
      <w:r>
        <w:t xml:space="preserve"> - The New York Civil Liberties Union (NYCLU) provides a fact sheet on the United States v. Windsor case, highlighting its significance in challenging the constitutionality of the Defense of Marriage Act (DOMA). The case involved Edith Windsor, who was denied a spousal exemption from estate taxes after her same-sex spouse, Thea Spyer, passed away. The NYCLU emphasizes the case's role in advocating for equal protection under the law for same-sex couples.</w:t>
      </w:r>
      <w:r/>
    </w:p>
    <w:p>
      <w:pPr>
        <w:pStyle w:val="ListNumber"/>
        <w:spacing w:line="240" w:lineRule="auto"/>
        <w:ind w:left="720"/>
      </w:pPr>
      <w:r/>
      <w:hyperlink r:id="rId11">
        <w:r>
          <w:rPr>
            <w:color w:val="0000EE"/>
            <w:u w:val="single"/>
          </w:rPr>
          <w:t>https://www.britannica.com/event/United-States-v-Windsor</w:t>
        </w:r>
      </w:hyperlink>
      <w:r>
        <w:t xml:space="preserve"> - Britannica offers an overview of the United States v. Windsor case, detailing how the Supreme Court struck down Section 3 of the Defense of Marriage Act (DOMA) in 2013. The article explains that the Court held DOMA's definition of marriage as a union between one man and one woman violated the Fifth Amendment's equal protection principles. This decision was a significant milestone in the fight for marriage equality in the U.S.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ntryqueer.com/stories/article/on-this-day-in-queerstory-legal-and-artistic-progress/" TargetMode="External"/><Relationship Id="rId10" Type="http://schemas.openxmlformats.org/officeDocument/2006/relationships/hyperlink" Target="https://www.law.cornell.edu/wex/united_states_v_windsor_%282013%29" TargetMode="External"/><Relationship Id="rId11" Type="http://schemas.openxmlformats.org/officeDocument/2006/relationships/hyperlink" Target="https://www.britannica.com/event/United-States-v-Windsor" TargetMode="External"/><Relationship Id="rId12" Type="http://schemas.openxmlformats.org/officeDocument/2006/relationships/hyperlink" Target="https://www.nyclu.org/resources/policy/one-pagers/fact-sheet-united-states-v-windsor-20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